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spacing w:after="240"/>
      </w:pPr>
    </w:p>
    <w:p>
      <w:pPr>
        <w:jc w:val="center"/>
      </w:pPr>
      <w:r>
        <w:rPr>
          <w:rFonts w:ascii="Calibri" w:hAnsi="Calibri" w:eastAsia="Calibri" w:cs="Calibri"/>
          <w:b/>
          <w:i w:val="0"/>
          <w:color w:val="6D28D9"/>
          <w:sz w:val="18"/>
        </w:rPr>
        <w:t>KIT PRATIQUE</w:t>
      </w:r>
    </w:p>
    <w:p>
      <w:pPr>
        <w:pStyle w:val="Title"/>
        <w:jc w:val="center"/>
      </w:pPr>
      <w:r>
        <w:t>Cahier des charges d'une application métier</w:t>
      </w:r>
    </w:p>
    <w:p>
      <w:pPr>
        <w:pStyle w:val="Subtitle"/>
        <w:jc w:val="center"/>
      </w:pPr>
      <w:r>
        <w:t>Modèle éditable pour cadrer, comparer et préparer la recette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900"/>
        <w:gridCol w:w="6460"/>
      </w:tblGrid>
      <w:tr>
        <w:trPr>
          <w:cantSplit/>
          <w:tblHeader w:val="true"/>
        </w:trPr>
        <w:tc>
          <w:tcPr>
            <w:tcW w:type="dxa" w:w="29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Information</w:t>
            </w:r>
          </w:p>
        </w:tc>
        <w:tc>
          <w:tcPr>
            <w:tcW w:type="dxa" w:w="64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Valeur</w:t>
            </w:r>
          </w:p>
        </w:tc>
      </w:tr>
      <w:tr>
        <w:trPr>
          <w:cantSplit/>
        </w:trPr>
        <w:tc>
          <w:tcPr>
            <w:tcW w:type="dxa" w:w="29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Version</w:t>
            </w:r>
          </w:p>
        </w:tc>
        <w:tc>
          <w:tcPr>
            <w:tcW w:type="dxa" w:w="64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1.0 - 20 juillet 2026</w:t>
            </w:r>
          </w:p>
        </w:tc>
      </w:tr>
      <w:tr>
        <w:trPr>
          <w:cantSplit/>
        </w:trPr>
        <w:tc>
          <w:tcPr>
            <w:tcW w:type="dxa" w:w="29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Format</w:t>
            </w:r>
          </w:p>
        </w:tc>
        <w:tc>
          <w:tcPr>
            <w:tcW w:type="dxa" w:w="64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Document de travail à adapter</w:t>
            </w:r>
          </w:p>
        </w:tc>
      </w:tr>
      <w:tr>
        <w:trPr>
          <w:cantSplit/>
        </w:trPr>
        <w:tc>
          <w:tcPr>
            <w:tcW w:type="dxa" w:w="29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Public</w:t>
            </w:r>
          </w:p>
        </w:tc>
        <w:tc>
          <w:tcPr>
            <w:tcW w:type="dxa" w:w="64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Dirigeants, indépendants et responsables de projet</w:t>
            </w:r>
          </w:p>
        </w:tc>
      </w:tr>
      <w:tr>
        <w:trPr>
          <w:cantSplit/>
        </w:trPr>
        <w:tc>
          <w:tcPr>
            <w:tcW w:type="dxa" w:w="29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Finalité</w:t>
            </w:r>
          </w:p>
        </w:tc>
        <w:tc>
          <w:tcPr>
            <w:tcW w:type="dxa" w:w="64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Produire un périmètre comparable et des critères de réception</w:t>
            </w:r>
          </w:p>
        </w:tc>
      </w:tr>
    </w:tbl>
    <w:p>
      <w:pPr>
        <w:spacing w:before="120" w:after="160" w:line="288" w:lineRule="auto"/>
        <w:ind w:left="115" w:right="115"/>
        <w:shd w:fill="EAF7F2"/>
      </w:pPr>
      <w:r>
        <w:rPr>
          <w:rFonts w:ascii="Calibri" w:hAnsi="Calibri" w:eastAsia="Calibri" w:cs="Calibri"/>
          <w:b/>
          <w:i w:val="0"/>
          <w:color w:val="047857"/>
          <w:sz w:val="21"/>
        </w:rPr>
        <w:t xml:space="preserve">Point de départ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Décrivez le problème, les utilisateurs et les scénarios avant de choisir une technologie. Le modèle peut conclure qu'il faut améliorer l'existant ou acheter une solution du marché.</w:t>
      </w:r>
    </w:p>
    <w:p>
      <w:pPr>
        <w:jc w:val="center"/>
      </w:pPr>
      <w:r>
        <w:rPr>
          <w:rFonts w:ascii="Calibri" w:hAnsi="Calibri" w:eastAsia="Calibri" w:cs="Calibri"/>
          <w:b w:val="0"/>
          <w:i w:val="0"/>
          <w:color w:val="5B6472"/>
          <w:sz w:val="18"/>
        </w:rPr>
        <w:t>Ressource gratuite - téléchargement sans email - hagnere-code.ai</w:t>
      </w:r>
      <w:r>
        <w:br w:type="page"/>
      </w:r>
    </w:p>
    <w:p>
      <w:pPr>
        <w:pStyle w:val="Heading1"/>
      </w:pPr>
      <w:r>
        <w:t>Comment utiliser ce document</w:t>
      </w:r>
    </w:p>
    <w:p>
      <w:pPr>
        <w:keepLines/>
      </w:pPr>
      <w:r>
        <w:t>Complétez d'abord les sections 1, 2, 4 et 8. Supprimez les rubriques inutiles, conservez les inconnues avec la mention « à confirmer » et demandez aux candidats de répondre avec les mêmes hypothèses.</w:t>
      </w:r>
    </w:p>
    <w:p>
      <w:pPr>
        <w:spacing w:before="120" w:after="160" w:line="288" w:lineRule="auto"/>
        <w:ind w:left="115" w:right="115"/>
        <w:shd w:fill="E8EEF5"/>
      </w:pPr>
      <w:r>
        <w:rPr>
          <w:rFonts w:ascii="Calibri" w:hAnsi="Calibri" w:eastAsia="Calibri" w:cs="Calibri"/>
          <w:b/>
          <w:i w:val="0"/>
          <w:color w:val="1F4D78"/>
          <w:sz w:val="21"/>
        </w:rPr>
        <w:t xml:space="preserve">Structure du kit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 modèle décline les sept livrables du guide en quatorze rubriques guidées, puis fournit six matrices éditables pour les scénarios, les données, les droits, les intégrations, la recette et les responsabilités.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200"/>
        <w:gridCol w:w="7160"/>
      </w:tblGrid>
      <w:tr>
        <w:trPr>
          <w:cantSplit/>
          <w:tblHeader w:val="true"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Étape</w:t>
            </w:r>
          </w:p>
        </w:tc>
        <w:tc>
          <w:tcPr>
            <w:tcW w:type="dxa" w:w="7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Résultat</w:t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20"/>
              </w:rPr>
              <w:t>1. Décrire</w:t>
            </w:r>
          </w:p>
        </w:tc>
        <w:tc>
          <w:tcPr>
            <w:tcW w:type="dxa" w:w="7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Le processus réel, ses acteurs, ses exceptions et son coût actuel.</w:t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20"/>
              </w:rPr>
              <w:t>2. Arbitrer</w:t>
            </w:r>
          </w:p>
        </w:tc>
        <w:tc>
          <w:tcPr>
            <w:tcW w:type="dxa" w:w="7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La première version utile, ce qui attendra et ce qui est exclu.</w:t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20"/>
              </w:rPr>
              <w:t>3. Vérifier</w:t>
            </w:r>
          </w:p>
        </w:tc>
        <w:tc>
          <w:tcPr>
            <w:tcW w:type="dxa" w:w="7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20"/>
              </w:rPr>
              <w:t>Les critères de recette, les preuves, les responsabilités et le plan de sortie.</w:t>
            </w:r>
          </w:p>
        </w:tc>
      </w:tr>
    </w:tbl>
    <w:p>
      <w:pPr>
        <w:spacing w:before="120" w:after="160" w:line="288" w:lineRule="auto"/>
        <w:ind w:left="115" w:right="115"/>
        <w:shd w:fill="FFF7E6"/>
      </w:pPr>
      <w:r>
        <w:rPr>
          <w:rFonts w:ascii="Calibri" w:hAnsi="Calibri" w:eastAsia="Calibri" w:cs="Calibri"/>
          <w:b/>
          <w:i w:val="0"/>
          <w:color w:val="7A5A00"/>
          <w:sz w:val="21"/>
        </w:rPr>
        <w:t xml:space="preserve">Confidentialité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Ne collez ni données clients réelles, ni mots de passe, ni clés API dans un document transmis à plusieurs candidats. Utilisez des exemples fictifs ou anonymisés et fournissez les accès dans un canal séparé après contractualisation.</w:t>
      </w:r>
    </w:p>
    <w:p>
      <w:pPr>
        <w:pStyle w:val="Heading2"/>
      </w:pPr>
      <w:r>
        <w:t>Glossaire minimum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000"/>
        <w:gridCol w:w="7360"/>
      </w:tblGrid>
      <w:tr>
        <w:trPr>
          <w:cantSplit/>
          <w:tblHeader w:val="true"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Terme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Définition</w:t>
            </w:r>
          </w:p>
        </w:tc>
      </w:tr>
      <w:tr>
        <w:trPr>
          <w:cantSplit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API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Interface documentée permettant à deux logiciels d'échanger des données.</w:t>
            </w:r>
          </w:p>
        </w:tc>
      </w:tr>
      <w:tr>
        <w:trPr>
          <w:cantSplit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MFA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Authentification multifacteur : un second facteur en plus du mot de passe.</w:t>
            </w:r>
          </w:p>
        </w:tc>
      </w:tr>
      <w:tr>
        <w:trPr>
          <w:cantSplit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Recette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Vérification formelle des critères prévus avant d'accepter un livrable.</w:t>
            </w:r>
          </w:p>
        </w:tc>
      </w:tr>
      <w:tr>
        <w:trPr>
          <w:cantSplit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Réversibilité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Capacité à récupérer données, code, documents et accès pour changer de solution ou de prestataire.</w:t>
            </w:r>
          </w:p>
        </w:tc>
      </w:tr>
      <w:tr>
        <w:trPr>
          <w:cantSplit/>
        </w:trPr>
        <w:tc>
          <w:tcPr>
            <w:tcW w:type="dxa" w:w="20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2F4F7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TCO</w:t>
            </w:r>
          </w:p>
        </w:tc>
        <w:tc>
          <w:tcPr>
            <w:tcW w:type="dxa" w:w="7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Coût total de possession : construction ou licences, temps interne, exploitation, maintenance et sortie sur une durée donnée.</w:t>
            </w:r>
          </w:p>
        </w:tc>
      </w:tr>
    </w:tbl>
    <w:p>
      <w:r>
        <w:br w:type="page"/>
      </w:r>
    </w:p>
    <w:p>
      <w:pPr>
        <w:pStyle w:val="Heading1"/>
      </w:pPr>
      <w:r>
        <w:t>1. La décision en une page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Cette synthèse évite que quinze pages de détails cachent encore la décision à prendre.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Problème métier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Décrivez la situation à corriger en trois phrases maximum.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Décrivez la situation à corriger en trois phrases maximum.]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Résultat attendu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Nommez le résultat métier observable, sans imposer de technologie.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Nommez le résultat métier observable, sans imposer de technologie.]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Décision recherchée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 devra permettre la consultation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 devra permettre la consultation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Première version utile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Quel résultat minimal doit fonctionner de bout en bout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Quel résultat minimal doit fonctionner de bout en bout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Hors périmètre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Écrivez ce qui ne doit pas être chiffré en première version.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Écrivez ce qui ne doit pas être chiffré en première version.]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problème tient en trois phrases et ne présuppose pas la solution.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première version traverse un processus complet, pas une liste d'écrans.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exclusions sont suffisamment précises pour rendre les offres comparables.</w:t>
            </w:r>
          </w:p>
        </w:tc>
      </w:tr>
    </w:tbl>
    <w:p>
      <w:pPr>
        <w:pStyle w:val="Heading1"/>
      </w:pPr>
      <w:r>
        <w:t>2. Le processus actuel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 prestataire doit comprendre le travail réel, y compris les contournements, avant de proposer des écrans.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Déclencheur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Quel événement démarre le processus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Quel événement démarre le processus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Étapes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Décrivez chaque étape, son responsable et son support actuel.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Décrivez chaque étape, son responsable et son support actuel.]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Exceptions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Listez les cas qui cassent le déroulé normal.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Listez les cas qui cassent le déroulé normal.]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Volumes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Donnez des ordres de grandeur et leur saisonnalité.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Donnez des ordres de grandeur et leur saisonnalité.]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Coût actuel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Mesurez le temps, les erreurs et les délais ; indiquez les hypothèses.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Mesurez le temps, les erreurs et les délais ; indiquez les hypothèses.]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étape possède un acteur, une entrée et une sortie.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exceptions et la solution de secours sont décrites.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volumes proviennent d'une mesure ou sont signalés comme hypothèses.</w:t>
            </w:r>
          </w:p>
        </w:tc>
      </w:tr>
    </w:tbl>
    <w:p>
      <w:pPr>
        <w:pStyle w:val="Heading1"/>
      </w:pPr>
      <w:r>
        <w:t>3. Les utilisateurs, rôles et situations d'usage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Un même écran ne convient pas à une personne au bureau, à un technicien sur mobile et à un administrateur.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Profils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Qui utilise, administre ou consulte l'outil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Qui utilise, administre ou consulte l'outil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Droits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 peut voir, créer, modifier, exporter ou supprimer chaque profil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 peut voir, créer, modifier, exporter ou supprimer chaque profil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Contexte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Appareil, réseau, environnement et contraintes physiques.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Appareil, réseau, environnement et contraintes physiques.]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Accès externe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Des clients, partenaires ou sous-traitants accèdent-ils à l'outil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Des clients, partenaires ou sous-traitants accèdent-ils à l'outil ?]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profil a des droits explicites et respecte le principe du besoin d'en connaître.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situations dégradées sont couvertes : petit écran, réseau lent ou absent, erreur de saisie.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création, la modification et la suppression de comptes ont un responsable.</w:t>
            </w:r>
          </w:p>
        </w:tc>
      </w:tr>
    </w:tbl>
    <w:p>
      <w:pPr>
        <w:pStyle w:val="Heading1"/>
      </w:pPr>
      <w:r>
        <w:t>4. Les scénarios critiques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Les scénarios décrivent ce que l'utilisateur doit réussir ; ils sont plus vérifiables qu'une liste de fonctionnalités.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1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Profil + situation + action + résultat attendu.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Profil + situation + action + résultat attendu.]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2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Ajoutez un scénario mobile complet.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Ajoutez un scénario mobile complet.]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3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Ajoutez un scénario de validation ou correction.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Ajoutez un scénario de validation ou correction.]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4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Ajoutez un scénario d'administration des accès.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Ajoutez un scénario d'administration des accès.]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5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Ajoutez un scénario de restitution ou de réversibilité.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Ajoutez un scénario de restitution ou de réversibilité.]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Scénario d'échec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 doit-il se passer si un service connecté est indisponible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 doit-il se passer si un service connecté est indisponible ?]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scénario possède un début, une fin et un résultat observable.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Au moins un cas d'erreur et un cas de reprise sont couverts.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scénarios critiques peuvent devenir des tests de recette.</w:t>
            </w:r>
          </w:p>
        </w:tc>
      </w:tr>
    </w:tbl>
    <w:p>
      <w:pPr>
        <w:pStyle w:val="Heading1"/>
      </w:pPr>
      <w:r>
        <w:t>5. Les règles métier et les cas limites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Les règles cachées dans les habitudes ou les formules Excel sont souvent le vrai coût du projet.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Règles de calcul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Formule, unités, arrondis, exceptions et responsable de validation.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Formule, unités, arrondis, exceptions et responsable de validation.]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États et transitions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Quels statuts existent et qui peut les changer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Quels statuts existent et qui peut les changer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Doublons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Comment détecter et traiter deux enregistrements proches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Comment détecter et traiter deux enregistrements proches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Traçabilité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Quelles actions doivent rester historisées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Quelles actions doivent rester historisées ?]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calcul peut être refait à partir des données conservées.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droits de changement d'état sont explicites.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corrections après validation restent traçables.</w:t>
            </w:r>
          </w:p>
        </w:tc>
      </w:tr>
    </w:tbl>
    <w:p>
      <w:pPr>
        <w:pStyle w:val="Heading1"/>
      </w:pPr>
      <w:r>
        <w:t>6. Les données et leur reprise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La migration échoue rarement parce qu'une colonne manque ; elle échoue lorsque personne ne tranche les doublons, les valeurs vides et l'historique utile.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Sources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Listez fichiers, bases, pièces jointes et propriétaires.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Listez fichiers, bases, pièces jointes et propriétaires.]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Qualité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Doublons, champs vides, formats et valeurs incohérentes.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Doublons, champs vides, formats et valeurs incohérentes.]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Stratégie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Tout migrer, dossiers actifs ou archive séparée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Tout migrer, dossiers actifs ou archive séparée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Validation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Qui accepte le résultat de la reprise et sur quel échantillon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Qui accepte le résultat de la reprise et sur quel échantillon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Conservation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Durées métier ou légales à confirmer.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Durées métier ou légales à confirmer.]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source a un propriétaire et un format d'export identifié.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données à corriger ou exclure sont quantifiées.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recette de migration compare comptages, totaux, échantillons et pièces jointes.</w:t>
            </w:r>
          </w:p>
        </w:tc>
      </w:tr>
    </w:tbl>
    <w:p>
      <w:pPr>
        <w:spacing w:before="120" w:after="160" w:line="288" w:lineRule="auto"/>
        <w:ind w:left="115" w:right="115"/>
        <w:shd w:fill="FFF7E6"/>
      </w:pPr>
      <w:r>
        <w:rPr>
          <w:rFonts w:ascii="Calibri" w:hAnsi="Calibri" w:eastAsia="Calibri" w:cs="Calibri"/>
          <w:b/>
          <w:i w:val="0"/>
          <w:color w:val="7A5A00"/>
          <w:sz w:val="21"/>
        </w:rPr>
        <w:t xml:space="preserve">Attention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N'insérez jamais de données clients réelles, mots de passe ou clés API dans le cahier des charges partagé.</w:t>
      </w:r>
    </w:p>
    <w:p>
      <w:pPr>
        <w:pStyle w:val="Heading1"/>
      </w:pPr>
      <w:r>
        <w:t>7. Les intégrations et les solutions de secours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Une connexion non documentée peut déplacer le prix, le délai et le niveau de risque du projet.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Systèmes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Nom, version, propriétaire, documentation et contact.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Nom, version, propriétaire, documentation et contact.]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Flux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Données, direction, fréquence, volume et déclencheur.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Données, direction, fréquence, volume et déclencheur.]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Erreurs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Que voit l'utilisateur et qui est alerté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Que voit l'utilisateur et qui est alerté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Secours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Processus manuel temporaire si l'intégration ne fonctionne pas.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Processus manuel temporaire si l'intégration ne fonctionne pas.]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flux précise son sens, son déclencheur et son propriétaire.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faisabilité non vérifiée est chiffrée comme étude ou option.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Un mode dégradé empêche l'arrêt complet de l'activité.</w:t>
            </w:r>
          </w:p>
        </w:tc>
      </w:tr>
    </w:tbl>
    <w:p>
      <w:pPr>
        <w:pStyle w:val="Heading1"/>
      </w:pPr>
      <w:r>
        <w:t>8. Le périmètre et les priorités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Prioriser protège le budget et permet de tester l'adoption avant d'étendre la solution.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Indispensable V1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Fonctions sans lesquelles le processus complet ne fonctionne pas.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Fonctions sans lesquelles le processus complet ne fonctionne pas.]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Version ultérieure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Fonctions utiles mais non nécessaires au premier résultat.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Fonctions utiles mais non nécessaires au premier résultat.]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Hors périmètre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Exclusions fermes pour la consultation.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Exclusions fermes pour la consultation.]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Critère d'abandon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Dans quel cas ne faut-il pas lancer le développement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Dans quel cas ne faut-il pas lancer le développement ?]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élément apparaît dans une seule catégorie.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V1 produit un résultat de bout en bout testable.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document autorise explicitement une conclusion sans développement sur mesure.</w:t>
            </w:r>
          </w:p>
        </w:tc>
      </w:tr>
    </w:tbl>
    <w:p>
      <w:pPr>
        <w:pStyle w:val="Heading1"/>
      </w:pPr>
      <w:r>
        <w:t>9. La sécurité, la confidentialité et la continuité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 cahier des charges doit demander des preuves et des responsabilités, pas la promesse vague d'un outil sécurisé.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Données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Catégories, sensibilité, finalités, destinataires et cycle de vie.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Catégories, sensibilité, finalités, destinataires et cycle de vie.]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Accès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Authentification, comptes nominatifs, MFA et revue des droits.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Authentification, comptes nominatifs, MFA et revue des droits.]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Hébergement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Pays, sous-traitants et transparence attendue.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Pays, sous-traitants et transparence attendue.]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Sauvegardes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Fréquence, rétention, isolement et test de restauration.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Fréquence, rétention, isolement et test de restauration.]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Incidents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Détection, contact, délai d'information et journal des actions.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Détection, contact, délai d'information et journal des actions.]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localisation, les sous-traitants et les transferts éventuels sont connus.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habilitations, journaux, sauvegardes et tests de restauration ont un périmètre vérifiable.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contrat prévoit restitution, destruction et notification des incidents.</w:t>
            </w:r>
          </w:p>
        </w:tc>
      </w:tr>
    </w:tbl>
    <w:p>
      <w:pPr>
        <w:spacing w:before="120" w:after="160" w:line="288" w:lineRule="auto"/>
        <w:ind w:left="115" w:right="115"/>
        <w:shd w:fill="FFF7E6"/>
      </w:pPr>
      <w:r>
        <w:rPr>
          <w:rFonts w:ascii="Calibri" w:hAnsi="Calibri" w:eastAsia="Calibri" w:cs="Calibri"/>
          <w:b/>
          <w:i w:val="0"/>
          <w:color w:val="7A5A00"/>
          <w:sz w:val="21"/>
        </w:rPr>
        <w:t xml:space="preserve">Attention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Ce modèle aide à poser les questions. Il ne constitue ni un audit de sécurité ni un conseil RGPD personnalisé.</w:t>
      </w:r>
    </w:p>
    <w:p>
      <w:pPr>
        <w:pStyle w:val="Heading1"/>
      </w:pPr>
      <w:r>
        <w:t>10. Les livrables, la recette et la mise en production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Un livrable n'est terminé que lorsqu'une preuve permet de l'accepter ou de le refuser.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Livrables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Listez ce qui doit être remis, dans quel format et à qui.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Listez ce qui doit être remis, dans quel format et à qui.]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Environnements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Préproduction, production et données de test.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Préproduction, production et données de test.]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Recette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Responsables, délai, preuves, retest et décision.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Responsables, délai, preuves, retest et décision.]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Bascule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Fenêtre, sauvegarde, critères go/no-go et retour arrière.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Fenêtre, sauvegarde, critères go/no-go et retour arrière.]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Stabilisation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Durée, périmètre et canal de support.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Durée, périmètre et canal de support.]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critères d'acceptation ont été rédigés avant le développement.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plan de bascule possède une décision go/no-go et un retour arrière.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code, la documentation et les accès figurent dans les livrables.</w:t>
            </w:r>
          </w:p>
        </w:tc>
      </w:tr>
    </w:tbl>
    <w:p>
      <w:pPr>
        <w:pStyle w:val="Heading1"/>
      </w:pPr>
      <w:r>
        <w:t>11. La gouvernance, le calendrier et le budget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 planning dépend autant des validations côté client que de la production du prestataire.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Rôles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Sponsor, décideur, référent métier, référent données et responsable recette.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Sponsor, décideur, référent métier, référent données et responsable recette.]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Disponibilité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Temps réservé par semaine côté entreprise.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Temps réservé par semaine côté entreprise.]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Jalons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Livrable, date cible, responsable de validation et délai de retour.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Livrable, date cible, responsable de validation et délai de retour.]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Budget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Construction, coûts récurrents, temps interne et réserve.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Construction, coûts récurrents, temps interne et réserve.]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Comparaison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Horizon et hypothèses communes aux offres.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Horizon et hypothèses communes aux offres.]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Un seul décideur arbitre le périmètre au quotidien.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délais de validation côté entreprise sont visibles.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Chaque candidat sépare coût initial, récurrent, optionnel, interne et coût de sortie.</w:t>
            </w:r>
          </w:p>
        </w:tc>
      </w:tr>
    </w:tbl>
    <w:p>
      <w:pPr>
        <w:pStyle w:val="Heading1"/>
      </w:pPr>
      <w:r>
        <w:t>12. La maintenance, la propriété et la réversibilité</w:t>
      </w:r>
    </w:p>
    <w:p>
      <w:pPr>
        <w:spacing w:before="120" w:after="160" w:line="288" w:lineRule="auto"/>
        <w:ind w:left="115" w:right="115"/>
        <w:shd w:fill="F7F8FA"/>
      </w:pPr>
      <w:r>
        <w:rPr>
          <w:rFonts w:ascii="Calibri" w:hAnsi="Calibri" w:eastAsia="Calibri" w:cs="Calibri"/>
          <w:b/>
          <w:i w:val="0"/>
          <w:color w:val="5B6472"/>
          <w:sz w:val="21"/>
        </w:rPr>
        <w:t xml:space="preserve">Pourquoi cette rubrique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La liberté de changer de prestataire dépend du contrat, mais aussi des accès, formats, documents et compétences remis.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6260"/>
      </w:tblGrid>
      <w:tr>
        <w:trPr>
          <w:tblHeader w:val="true"/>
          <w:cantSplit/>
        </w:trPr>
        <w:tc>
          <w:tcPr>
            <w:tcW w:type="dxa" w:w="31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Question à traiter</w:t>
            </w:r>
          </w:p>
        </w:tc>
        <w:tc>
          <w:tcPr>
            <w:tcW w:type="dxa" w:w="62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8"/>
              </w:rPr>
              <w:t>Votre réponse</w:t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Maintenance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Correctif, sécurité, support et évolution : qui fait quoi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Correctif, sécurité, support et évolution : qui fait quoi ?]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Propriété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Données, code spécifique, composants tiers, comptes et licences.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Données, code spécifique, composants tiers, comptes et licences.]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Accès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Comptes qui doivent être détenus par l'entreprise.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Comptes qui doivent être détenus par l'entreprise.]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Sortie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Format, délai, coût, assistance et preuve d'importabilité.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Format, délai, coût, assistance et preuve d'importabilité.]</w:t>
              <w:br/>
              <w:br/>
            </w:r>
          </w:p>
        </w:tc>
      </w:tr>
      <w:tr>
        <w:trPr>
          <w:cantSplit/>
        </w:trPr>
        <w:tc>
          <w:tcPr>
            <w:tcW w:type="dxa" w:w="31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9"/>
              </w:rPr>
              <w:t>Fin de vie</w:t>
            </w:r>
          </w:p>
          <w:p>
            <w:r>
              <w:rPr>
                <w:rFonts w:ascii="Calibri" w:hAnsi="Calibri" w:eastAsia="Calibri" w:cs="Calibri"/>
                <w:b w:val="0"/>
                <w:i w:val="0"/>
                <w:color w:val="5B6472"/>
                <w:sz w:val="17"/>
              </w:rPr>
              <w:t>Comment fermer proprement le service ?</w:t>
            </w:r>
          </w:p>
        </w:tc>
        <w:tc>
          <w:tcPr>
            <w:tcW w:type="dxa" w:w="626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[À compléter - Comment fermer proprement le service ?]</w:t>
              <w:br/>
              <w:br/>
            </w:r>
          </w:p>
        </w:tc>
      </w:tr>
    </w:tbl>
    <w:p>
      <w:pPr>
        <w:pStyle w:val="Heading2"/>
      </w:pPr>
      <w:r>
        <w:t>Terminé lorsque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État</w:t>
            </w:r>
          </w:p>
        </w:tc>
        <w:tc>
          <w:tcPr>
            <w:tcW w:type="dxa" w:w="8760"/>
            <w:shd w:fill="EAF7F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047857"/>
                <w:sz w:val="17"/>
              </w:rPr>
              <w:t>Critère de fin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formats de restitution sont structurés, documentés et testés.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accès stratégiques ne dépendent pas d'un compte personnel du prestataire.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AF7F2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047857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fin de contrat prévoit restitution, assistance et destruction des copies selon le périmètre applicable.</w:t>
            </w:r>
          </w:p>
        </w:tc>
      </w:tr>
    </w:tbl>
    <w:p>
      <w:pPr>
        <w:sectPr>
          <w:headerReference w:type="default" r:id="rId9"/>
          <w:footerReference w:type="default" r:id="rId10"/>
          <w:pgSz w:w="11906" w:h="16838"/>
          <w:pgMar w:top="1276" w:right="1273" w:bottom="1276" w:left="1273" w:header="709" w:footer="709" w:gutter="0"/>
          <w:cols w:space="720"/>
          <w:docGrid w:linePitch="360"/>
        </w:sectPr>
      </w:pPr>
    </w:p>
    <w:p>
      <w:pPr>
        <w:pStyle w:val="Heading1"/>
      </w:pPr>
      <w:r>
        <w:t>Annexes éditables - les six matrices de travail</w:t>
      </w:r>
    </w:p>
    <w:p>
      <w:pPr>
        <w:spacing w:before="120" w:after="160" w:line="288" w:lineRule="auto"/>
        <w:ind w:left="115" w:right="115"/>
        <w:shd w:fill="E8EEF5"/>
      </w:pPr>
      <w:r>
        <w:rPr>
          <w:rFonts w:ascii="Calibri" w:hAnsi="Calibri" w:eastAsia="Calibri" w:cs="Calibri"/>
          <w:b/>
          <w:i w:val="0"/>
          <w:color w:val="1F4D78"/>
          <w:sz w:val="21"/>
        </w:rPr>
        <w:t xml:space="preserve">Mode d'emploi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Ces annexes transforment les rubriques du dossier en feuilles de travail comparables. Conservez les inconnues avec la mention « à confirmer » et anonymisez les données avant tout partage.</w:t>
      </w:r>
    </w:p>
    <w:p>
      <w:pPr>
        <w:pStyle w:val="Heading2"/>
      </w:pPr>
      <w:r>
        <w:t>A1. Scénarios métier - 5 prioritaires et 3 optionnels</w:t>
      </w:r>
    </w:p>
    <w:p>
      <w:pPr>
        <w:keepNext/>
      </w:pPr>
      <w:r>
        <w:t>Les cinq premières lignes couvrent la version utile de bout en bout. Les trois suivantes servent aux variantes ou risques secondaires ; elles peuvent rester hors première version.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97"/>
        <w:gridCol w:w="2018"/>
        <w:gridCol w:w="2243"/>
        <w:gridCol w:w="2691"/>
        <w:gridCol w:w="2018"/>
        <w:gridCol w:w="1682"/>
        <w:gridCol w:w="1794"/>
        <w:gridCol w:w="1794"/>
      </w:tblGrid>
      <w:tr>
        <w:trPr>
          <w:tblHeader w:val="true"/>
          <w:cantSplit/>
        </w:trPr>
        <w:tc>
          <w:tcPr>
            <w:tcW w:type="dxa" w:w="897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ID</w:t>
            </w:r>
          </w:p>
        </w:tc>
        <w:tc>
          <w:tcPr>
            <w:tcW w:type="dxa" w:w="201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Acteur et but</w:t>
            </w:r>
          </w:p>
        </w:tc>
        <w:tc>
          <w:tcPr>
            <w:tcW w:type="dxa" w:w="224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Déclencheur et préconditions</w:t>
            </w:r>
          </w:p>
        </w:tc>
        <w:tc>
          <w:tcPr>
            <w:tcW w:type="dxa" w:w="2691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Parcours nominal</w:t>
            </w:r>
          </w:p>
        </w:tc>
        <w:tc>
          <w:tcPr>
            <w:tcW w:type="dxa" w:w="201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Exceptions</w:t>
            </w:r>
          </w:p>
        </w:tc>
        <w:tc>
          <w:tcPr>
            <w:tcW w:type="dxa" w:w="1682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Données</w:t>
            </w:r>
          </w:p>
        </w:tc>
        <w:tc>
          <w:tcPr>
            <w:tcW w:type="dxa" w:w="1794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Résultat</w:t>
            </w:r>
          </w:p>
        </w:tc>
        <w:tc>
          <w:tcPr>
            <w:tcW w:type="dxa" w:w="1794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Preuve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S-01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S-02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S-03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S-04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S-05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S-06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S-07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897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S-08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68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r>
        <w:br w:type="page"/>
      </w:r>
    </w:p>
    <w:p>
      <w:pPr>
        <w:pStyle w:val="Heading2"/>
      </w:pPr>
      <w:r>
        <w:t>A2. Dictionnaire des données</w:t>
      </w:r>
    </w:p>
    <w:p>
      <w:pPr>
        <w:keepNext/>
      </w:pPr>
      <w:r>
        <w:t>Une ligne par donnée importante. La durée de conservation doit être justifiée selon la finalité et les obligations applicables, pas copiée depuis l'exemple.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766"/>
        <w:gridCol w:w="2271"/>
        <w:gridCol w:w="2523"/>
        <w:gridCol w:w="2271"/>
        <w:gridCol w:w="2018"/>
        <w:gridCol w:w="2271"/>
        <w:gridCol w:w="2017"/>
      </w:tblGrid>
      <w:tr>
        <w:trPr>
          <w:tblHeader w:val="true"/>
          <w:cantSplit/>
        </w:trPr>
        <w:tc>
          <w:tcPr>
            <w:tcW w:type="dxa" w:w="1766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ID / donnée</w:t>
            </w:r>
          </w:p>
        </w:tc>
        <w:tc>
          <w:tcPr>
            <w:tcW w:type="dxa" w:w="2271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Source de vérité</w:t>
            </w:r>
          </w:p>
        </w:tc>
        <w:tc>
          <w:tcPr>
            <w:tcW w:type="dxa" w:w="252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Format et qualité</w:t>
            </w:r>
          </w:p>
        </w:tc>
        <w:tc>
          <w:tcPr>
            <w:tcW w:type="dxa" w:w="2271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Finalité</w:t>
            </w:r>
          </w:p>
        </w:tc>
        <w:tc>
          <w:tcPr>
            <w:tcW w:type="dxa" w:w="201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Accès</w:t>
            </w:r>
          </w:p>
        </w:tc>
        <w:tc>
          <w:tcPr>
            <w:tcW w:type="dxa" w:w="2271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Conservation</w:t>
            </w:r>
          </w:p>
        </w:tc>
        <w:tc>
          <w:tcPr>
            <w:tcW w:type="dxa" w:w="2017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Sort final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D-01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D-02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D-03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D-04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D-05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766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D-06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52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7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1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r>
        <w:br w:type="page"/>
      </w:r>
    </w:p>
    <w:p>
      <w:pPr>
        <w:pStyle w:val="Heading2"/>
      </w:pPr>
      <w:r>
        <w:t>A3. Matrice des droits</w:t>
      </w:r>
    </w:p>
    <w:p>
      <w:pPr>
        <w:keepNext/>
      </w:pPr>
      <w:r>
        <w:t>Une coche autorise l'action dans le périmètre indiqué. Une case vide signifie interdit, pas « à décider plus tard ».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90"/>
        <w:gridCol w:w="1018"/>
        <w:gridCol w:w="1018"/>
        <w:gridCol w:w="1145"/>
        <w:gridCol w:w="1145"/>
        <w:gridCol w:w="1145"/>
        <w:gridCol w:w="1145"/>
        <w:gridCol w:w="3053"/>
        <w:gridCol w:w="3178"/>
      </w:tblGrid>
      <w:tr>
        <w:trPr>
          <w:tblHeader w:val="true"/>
          <w:cantSplit/>
        </w:trPr>
        <w:tc>
          <w:tcPr>
            <w:tcW w:type="dxa" w:w="2290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Rôle</w:t>
            </w:r>
          </w:p>
        </w:tc>
        <w:tc>
          <w:tcPr>
            <w:tcW w:type="dxa" w:w="101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Voir</w:t>
            </w:r>
          </w:p>
        </w:tc>
        <w:tc>
          <w:tcPr>
            <w:tcW w:type="dxa" w:w="101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Créer</w:t>
            </w:r>
          </w:p>
        </w:tc>
        <w:tc>
          <w:tcPr>
            <w:tcW w:type="dxa" w:w="114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Modifier</w:t>
            </w:r>
          </w:p>
        </w:tc>
        <w:tc>
          <w:tcPr>
            <w:tcW w:type="dxa" w:w="114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Valider</w:t>
            </w:r>
          </w:p>
        </w:tc>
        <w:tc>
          <w:tcPr>
            <w:tcW w:type="dxa" w:w="114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Exporter</w:t>
            </w:r>
          </w:p>
        </w:tc>
        <w:tc>
          <w:tcPr>
            <w:tcW w:type="dxa" w:w="114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Supprimer</w:t>
            </w:r>
          </w:p>
        </w:tc>
        <w:tc>
          <w:tcPr>
            <w:tcW w:type="dxa" w:w="305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Périmètre</w:t>
            </w:r>
          </w:p>
        </w:tc>
        <w:tc>
          <w:tcPr>
            <w:tcW w:type="dxa" w:w="317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Preuve de recette</w:t>
            </w:r>
          </w:p>
        </w:tc>
      </w:tr>
      <w:tr>
        <w:trPr>
          <w:cantSplit/>
        </w:trPr>
        <w:tc>
          <w:tcPr>
            <w:tcW w:type="dxa" w:w="229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Rôle 1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05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17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29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Rôle 2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05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17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29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Rôle 3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05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17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29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Rôle 4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05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17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29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Rôle 5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01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14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05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17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r>
        <w:br w:type="page"/>
      </w:r>
    </w:p>
    <w:p>
      <w:pPr>
        <w:pStyle w:val="Heading2"/>
      </w:pPr>
      <w:r>
        <w:t>A4. Matrice des intégrations</w:t>
      </w:r>
    </w:p>
    <w:p>
      <w:pPr>
        <w:keepNext/>
      </w:pPr>
      <w:r>
        <w:t>Chaque flux possède un propriétaire et un mode dégradé. Le mot « connecteur » ne suffit pas à prouver le comportement réel.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570"/>
        <w:gridCol w:w="1458"/>
        <w:gridCol w:w="1458"/>
        <w:gridCol w:w="2243"/>
        <w:gridCol w:w="1794"/>
        <w:gridCol w:w="1794"/>
        <w:gridCol w:w="2130"/>
        <w:gridCol w:w="2690"/>
      </w:tblGrid>
      <w:tr>
        <w:trPr>
          <w:tblHeader w:val="true"/>
          <w:cantSplit/>
        </w:trPr>
        <w:tc>
          <w:tcPr>
            <w:tcW w:type="dxa" w:w="1570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Flux</w:t>
            </w:r>
          </w:p>
        </w:tc>
        <w:tc>
          <w:tcPr>
            <w:tcW w:type="dxa" w:w="145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Source</w:t>
            </w:r>
          </w:p>
        </w:tc>
        <w:tc>
          <w:tcPr>
            <w:tcW w:type="dxa" w:w="145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Cible</w:t>
            </w:r>
          </w:p>
        </w:tc>
        <w:tc>
          <w:tcPr>
            <w:tcW w:type="dxa" w:w="224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Données</w:t>
            </w:r>
          </w:p>
        </w:tc>
        <w:tc>
          <w:tcPr>
            <w:tcW w:type="dxa" w:w="1794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Fréquence / volume</w:t>
            </w:r>
          </w:p>
        </w:tc>
        <w:tc>
          <w:tcPr>
            <w:tcW w:type="dxa" w:w="1794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Authentification</w:t>
            </w:r>
          </w:p>
        </w:tc>
        <w:tc>
          <w:tcPr>
            <w:tcW w:type="dxa" w:w="2130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Reprise sans doublon</w:t>
            </w:r>
          </w:p>
        </w:tc>
        <w:tc>
          <w:tcPr>
            <w:tcW w:type="dxa" w:w="2690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Mode dégradé et responsable</w:t>
            </w:r>
          </w:p>
        </w:tc>
      </w:tr>
      <w:tr>
        <w:trPr>
          <w:cantSplit/>
        </w:trPr>
        <w:tc>
          <w:tcPr>
            <w:tcW w:type="dxa" w:w="157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I-01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13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57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I-02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13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57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I-03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13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57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I-04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458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4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94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13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690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r>
        <w:br w:type="page"/>
      </w:r>
    </w:p>
    <w:p>
      <w:pPr>
        <w:pStyle w:val="Heading2"/>
      </w:pPr>
      <w:r>
        <w:t>A5. Matrice de recette</w:t>
      </w:r>
    </w:p>
    <w:p>
      <w:pPr>
        <w:keepNext/>
      </w:pPr>
      <w:r>
        <w:t>Le validateur métier décide avec une preuve conservée. Une anomalie corrigée est retestée sur le même jeu d'essai.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138"/>
        <w:gridCol w:w="2162"/>
        <w:gridCol w:w="2049"/>
        <w:gridCol w:w="2731"/>
        <w:gridCol w:w="2049"/>
        <w:gridCol w:w="1707"/>
        <w:gridCol w:w="1935"/>
        <w:gridCol w:w="1366"/>
      </w:tblGrid>
      <w:tr>
        <w:trPr>
          <w:tblHeader w:val="true"/>
          <w:cantSplit/>
        </w:trPr>
        <w:tc>
          <w:tcPr>
            <w:tcW w:type="dxa" w:w="1138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Test</w:t>
            </w:r>
          </w:p>
        </w:tc>
        <w:tc>
          <w:tcPr>
            <w:tcW w:type="dxa" w:w="2162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Données initiales</w:t>
            </w:r>
          </w:p>
        </w:tc>
        <w:tc>
          <w:tcPr>
            <w:tcW w:type="dxa" w:w="2049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Action</w:t>
            </w:r>
          </w:p>
        </w:tc>
        <w:tc>
          <w:tcPr>
            <w:tcW w:type="dxa" w:w="2731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Résultat attendu</w:t>
            </w:r>
          </w:p>
        </w:tc>
        <w:tc>
          <w:tcPr>
            <w:tcW w:type="dxa" w:w="2049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Preuve</w:t>
            </w:r>
          </w:p>
        </w:tc>
        <w:tc>
          <w:tcPr>
            <w:tcW w:type="dxa" w:w="1707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Validateur</w:t>
            </w:r>
          </w:p>
        </w:tc>
        <w:tc>
          <w:tcPr>
            <w:tcW w:type="dxa" w:w="193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Sévérité si échec</w:t>
            </w:r>
          </w:p>
        </w:tc>
        <w:tc>
          <w:tcPr>
            <w:tcW w:type="dxa" w:w="1366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Retest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R-01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R-02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R-03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R-04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R-05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1138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R-06</w:t>
            </w:r>
          </w:p>
        </w:tc>
        <w:tc>
          <w:tcPr>
            <w:tcW w:type="dxa" w:w="2162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731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049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70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93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1366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r>
        <w:br w:type="page"/>
      </w:r>
    </w:p>
    <w:p>
      <w:pPr>
        <w:pStyle w:val="Heading2"/>
      </w:pPr>
      <w:r>
        <w:t>A6. Matrice des responsabilités</w:t>
      </w:r>
    </w:p>
    <w:p>
      <w:pPr>
        <w:keepNext/>
      </w:pPr>
      <w:r>
        <w:t>Une activité sans décideur ni preuve reste un risque de planning. N'attribuez pas automatiquement toute décision au prestataire.</w:t>
      </w:r>
    </w:p>
    <w:tbl>
      <w:tblPr>
        <w:tblStyle w:val="TableGrid"/>
        <w:tblW w:type="dxa" w:w="15137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30"/>
        <w:gridCol w:w="2233"/>
        <w:gridCol w:w="2233"/>
        <w:gridCol w:w="2233"/>
        <w:gridCol w:w="2233"/>
        <w:gridCol w:w="3475"/>
      </w:tblGrid>
      <w:tr>
        <w:trPr>
          <w:tblHeader w:val="true"/>
          <w:cantSplit/>
        </w:trPr>
        <w:tc>
          <w:tcPr>
            <w:tcW w:type="dxa" w:w="2730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Activité</w:t>
            </w:r>
          </w:p>
        </w:tc>
        <w:tc>
          <w:tcPr>
            <w:tcW w:type="dxa" w:w="223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Fournit</w:t>
            </w:r>
          </w:p>
        </w:tc>
        <w:tc>
          <w:tcPr>
            <w:tcW w:type="dxa" w:w="223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Décide</w:t>
            </w:r>
          </w:p>
        </w:tc>
        <w:tc>
          <w:tcPr>
            <w:tcW w:type="dxa" w:w="223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Exécute</w:t>
            </w:r>
          </w:p>
        </w:tc>
        <w:tc>
          <w:tcPr>
            <w:tcW w:type="dxa" w:w="2233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Valide</w:t>
            </w:r>
          </w:p>
        </w:tc>
        <w:tc>
          <w:tcPr>
            <w:tcW w:type="dxa" w:w="3475"/>
            <w:shd w:fill="E8EEF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4"/>
              </w:rPr>
              <w:t>Preuve attendue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Cadrage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Données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Droits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Développement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Recette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Bascule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Exploitation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  <w:tr>
        <w:trPr>
          <w:cantSplit/>
        </w:trPr>
        <w:tc>
          <w:tcPr>
            <w:tcW w:type="dxa" w:w="2730"/>
            <w:shd w:fill="F2F4F7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4"/>
              </w:rPr>
              <w:t>Sortie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2233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  <w:tc>
          <w:tcPr>
            <w:tcW w:type="dxa" w:w="3475"/>
            <w:tcMar>
              <w:top w:w="45" w:type="dxa"/>
              <w:start w:w="45" w:type="dxa"/>
              <w:bottom w:w="45" w:type="dxa"/>
              <w:end w:w="45" w:type="dxa"/>
            </w:tcMar>
            <w:vAlign w:val="top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4"/>
              </w:rPr>
              <w:t>[À compléter]</w:t>
            </w:r>
          </w:p>
        </w:tc>
      </w:tr>
    </w:tbl>
    <w:p>
      <w:pPr>
        <w:sectPr>
          <w:pgSz w:w="16838" w:h="11906" w:orient="landscape"/>
          <w:pgMar w:top="850" w:right="850" w:bottom="850" w:left="850" w:header="709" w:footer="709" w:gutter="0"/>
          <w:cols w:space="720"/>
          <w:docGrid w:linePitch="360"/>
        </w:sectPr>
      </w:pPr>
    </w:p>
    <w:p>
      <w:pPr>
        <w:pStyle w:val="Heading1"/>
      </w:pPr>
      <w:r>
        <w:t>13. Grille de réponse du candidat</w:t>
      </w:r>
    </w:p>
    <w:p>
      <w:pPr>
        <w:keepLines/>
      </w:pPr>
      <w:r>
        <w:t>Demandez à chaque candidat de répondre ligne par ligne. Une réponse « inclus » sans hypothèse ni preuve reste incomplète.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560"/>
        <w:gridCol w:w="3600"/>
      </w:tblGrid>
      <w:tr>
        <w:trPr>
          <w:tblHeader w:val="true"/>
          <w:cantSplit/>
        </w:trPr>
        <w:tc>
          <w:tcPr>
            <w:tcW w:type="dxa" w:w="22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Sujet</w:t>
            </w:r>
          </w:p>
        </w:tc>
        <w:tc>
          <w:tcPr>
            <w:tcW w:type="dxa" w:w="356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Réponse attendue</w:t>
            </w:r>
          </w:p>
        </w:tc>
        <w:tc>
          <w:tcPr>
            <w:tcW w:type="dxa" w:w="3600"/>
            <w:shd w:fill="E8EEF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4D78"/>
                <w:sz w:val="17"/>
              </w:rPr>
              <w:t>Réponse du candidat</w:t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Compréhension du problème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Reformulation, questions ouvertes et mauvais fits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Périmètre V1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Inclus, partiel, option, exclu et dépendances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Planning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Jalons, charge client, hypothèses et risques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Coût initial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Cadrage, conception, développement, reprise, recette et formation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Coûts récurrents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Licences, hébergement, maintenance, support et évolutions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Données et intégrations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Méthode, limites, étude préalable et secours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Sécurité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Mesures, preuves, sous-traitants et responsabilités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Recette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Scénarios, preuves, anomalies et retests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Réversibilité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Formats, code, documentation, accès, délai et coût de sortie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  <w:tr>
        <w:trPr>
          <w:cantSplit/>
        </w:trPr>
        <w:tc>
          <w:tcPr>
            <w:tcW w:type="dxa" w:w="22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Validité de l'offre</w:t>
            </w:r>
          </w:p>
        </w:tc>
        <w:tc>
          <w:tcPr>
            <w:tcW w:type="dxa" w:w="35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Durée, taxes, modalités de paiement et exclusions</w:t>
            </w:r>
          </w:p>
        </w:tc>
        <w:tc>
          <w:tcPr>
            <w:tcW w:type="dxa" w:w="3600"/>
            <w:shd w:fill="F7F8FA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7"/>
              </w:rPr>
              <w:t>[À compléter par le candidat]</w:t>
              <w:br/>
              <w:br/>
            </w:r>
          </w:p>
        </w:tc>
      </w:tr>
    </w:tbl>
    <w:p>
      <w:pPr>
        <w:pStyle w:val="Heading1"/>
      </w:pPr>
      <w:r>
        <w:t>14. Contrôle avant envoi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00"/>
        <w:gridCol w:w="8760"/>
      </w:tblGrid>
      <w:tr>
        <w:trPr>
          <w:tblHeader w:val="true"/>
          <w:cantSplit/>
        </w:trPr>
        <w:tc>
          <w:tcPr>
            <w:tcW w:type="dxa" w:w="600"/>
            <w:shd w:fill="F2F4F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État</w:t>
            </w:r>
          </w:p>
        </w:tc>
        <w:tc>
          <w:tcPr>
            <w:tcW w:type="dxa" w:w="8760"/>
            <w:shd w:fill="F2F4F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/>
                <w:i w:val="0"/>
                <w:color w:val="1F2937"/>
                <w:sz w:val="17"/>
              </w:rPr>
              <w:t>Point de contrôle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 problème et le résultat sont décrits sans imposer une technologie.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V1, les options et les exclusions ne se chevauchent pas.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données, intégrations et règles encore inconnues sont signalées.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scénarios critiques deviennent des critères de recette.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coûts sont comparés sur le même horizon et le même nombre d'utilisateurs.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responsabilités côté entreprise et prestataire sont nommées.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Les exigences de sécurité demandent une preuve et un responsable.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restitution des données, du code, des accès et de la documentation est prévue.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Aucun secret ni donnée personnelle inutile ne figure dans le document partagé.</w:t>
            </w:r>
          </w:p>
        </w:tc>
      </w:tr>
      <w:tr>
        <w:trPr>
          <w:cantSplit/>
        </w:trPr>
        <w:tc>
          <w:tcPr>
            <w:tcW w:type="dxa" w:w="60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7F8FA"/>
          </w:tcPr>
          <w:p>
            <w:pPr>
              <w:jc w:val="center"/>
            </w:pPr>
            <w:r>
              <w:rPr>
                <w:rFonts w:ascii="Calibri" w:hAnsi="Calibri" w:eastAsia="Calibri" w:cs="Calibri"/>
                <w:b/>
                <w:i w:val="0"/>
                <w:color w:val="5B6472"/>
                <w:sz w:val="24"/>
              </w:rPr>
              <w:t>☐</w:t>
            </w:r>
          </w:p>
        </w:tc>
        <w:tc>
          <w:tcPr>
            <w:tcW w:type="dxa" w:w="87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 w:cs="Calibri"/>
                <w:b w:val="0"/>
                <w:i w:val="0"/>
                <w:color w:val="1F2937"/>
                <w:sz w:val="19"/>
              </w:rPr>
              <w:t>La décision « ne pas développer » reste possible.</w:t>
            </w:r>
          </w:p>
        </w:tc>
      </w:tr>
    </w:tbl>
    <w:p>
      <w:pPr>
        <w:spacing w:before="120" w:after="160" w:line="288" w:lineRule="auto"/>
        <w:ind w:left="115" w:right="115"/>
        <w:shd w:fill="FFF7E6"/>
      </w:pPr>
      <w:r>
        <w:rPr>
          <w:rFonts w:ascii="Calibri" w:hAnsi="Calibri" w:eastAsia="Calibri" w:cs="Calibri"/>
          <w:b/>
          <w:i w:val="0"/>
          <w:color w:val="7A5A00"/>
          <w:sz w:val="21"/>
        </w:rPr>
        <w:t xml:space="preserve">Ce que le kit ne remplace pas  </w:t>
      </w:r>
      <w:r>
        <w:rPr>
          <w:rFonts w:ascii="Calibri" w:hAnsi="Calibri" w:eastAsia="Calibri" w:cs="Calibri"/>
          <w:b w:val="0"/>
          <w:i w:val="0"/>
          <w:color w:val="1F2937"/>
          <w:sz w:val="21"/>
        </w:rPr>
        <w:t>Le cahier des charges ne remplace pas le contrat, son ordre de priorité, un audit de sécurité, une analyse d'impact, ni un conseil juridique, social, fiscal ou sectoriel adapté.</w:t>
      </w:r>
    </w:p>
    <w:sectPr w:rsidR="00FC693F" w:rsidRPr="0006063C" w:rsidSect="00034616">
      <w:pgSz w:w="11906" w:h="16838"/>
      <w:pgMar w:top="1276" w:right="1273" w:bottom="1276" w:left="1273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 w:eastAsia="Calibri" w:cs="Calibri"/>
        <w:b w:val="0"/>
        <w:i w:val="0"/>
        <w:color w:val="5B6472"/>
        <w:sz w:val="16"/>
      </w:rPr>
      <w:t xml:space="preserve">hagnere-code.ai · </w:t>
    </w:r>
    <w:r>
      <w:rPr>
        <w:rFonts w:ascii="Calibri" w:hAnsi="Calibri" w:eastAsia="Calibri" w:cs="Calibri"/>
        <w:b w:val="0"/>
        <w:i w:val="0"/>
        <w:color w:val="5B6472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 w:cs="Calibri"/>
        <w:b w:val="0"/>
        <w:i w:val="0"/>
        <w:color w:val="5B6472"/>
        <w:sz w:val="16"/>
      </w:rPr>
      <w:t xml:space="preserve"> / </w:t>
    </w:r>
    <w:r>
      <w:rPr>
        <w:rFonts w:ascii="Calibri" w:hAnsi="Calibri" w:eastAsia="Calibri" w:cs="Calibri"/>
        <w:b w:val="0"/>
        <w:i w:val="0"/>
        <w:color w:val="5B6472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 w:cs="Calibri"/>
        <w:b/>
        <w:i w:val="0"/>
        <w:color w:val="5B6472"/>
        <w:sz w:val="16"/>
      </w:rPr>
      <w:t>HAGNÉRÉ CODE · KIT APPLICATION MÉTIER ·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Calibri" w:cs="Calibri"/>
      <w:b w:val="0"/>
      <w:color w:val="1F2937"/>
      <w:sz w:val="22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 w:cs="Calibri"/>
      <w:b/>
      <w:color w:val="1F2937"/>
      <w:spacing w:val="5"/>
      <w:kern w:val="28"/>
      <w:sz w:val="52"/>
      <w:szCs w:val="5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80"/>
    </w:pPr>
    <w:rPr>
      <w:rFonts w:asciiTheme="majorHAnsi" w:eastAsiaTheme="majorEastAsia" w:hAnsiTheme="majorHAnsi" w:cstheme="majorBidi" w:ascii="Calibri" w:hAnsi="Calibri" w:eastAsia="Calibri" w:cs="Calibri"/>
      <w:b w:val="0"/>
      <w:i/>
      <w:iCs/>
      <w:color w:val="5B6472"/>
      <w:spacing w:val="15"/>
      <w:sz w:val="24"/>
      <w:szCs w:val="24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cahier des charges d'une application métier</dc:title>
  <dc:subject>Cadrage, comparaison, recette et réversibilité d'une application métier</dc:subject>
  <dc:creator>Hagnéré Code</dc:creator>
  <cp:keywords>cahier des charges, application métier, logiciel sur mesure, recette, réversibilité</cp:keywords>
  <dc:description>Ressource pédagogique. Ne constitue pas un conseil juridique ou RGPD personnalisé.</dc:description>
  <cp:lastModifiedBy/>
  <cp:revision>1</cp:revision>
  <dcterms:created xsi:type="dcterms:W3CDTF">2013-12-23T23:15:00Z</dcterms:created>
  <dcterms:modified xsi:type="dcterms:W3CDTF">2013-12-23T23:15:00Z</dcterms:modified>
  <cp:category>Ressource opérationnelle</cp:category>
  <cp:version>1.0</cp:version>
</cp:coreProperties>
</file>