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720"/>
        <w:keepNext/>
        <w:keepLines/>
      </w:pPr>
      <w:r>
        <w:rPr>
          <w:b/>
          <w:color w:val="6D28D9"/>
          <w:sz w:val="16"/>
        </w:rPr>
        <w:t>MODÈLE WORD ÉDITABLE</w:t>
      </w:r>
    </w:p>
    <w:p>
      <w:pPr>
        <w:pStyle w:val="Title"/>
      </w:pPr>
      <w:r>
        <w:t>Cahier des charges de site internet</w:t>
      </w:r>
    </w:p>
    <w:p>
      <w:pPr>
        <w:pStyle w:val="Subtitle"/>
      </w:pPr>
      <w:r>
        <w:t>Un cahier de travail pour cadrer le besoin, comparer les offres et préparer une recette vérifiable.</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À lire avant de partager — </w:t>
      </w:r>
      <w:r>
        <w:rPr>
          <w:color w:val="1F2937"/>
        </w:rPr>
        <w:t>Ne saisissez aucun mot de passe, clé API, donnée client brute, donnée sensible ou secret commercial détaillé. Partagez une copie expurgée et transmettez les accès séparément par un canal sécurisé.</w:t>
      </w:r>
    </w:p>
    <w:p>
      <w:pPr>
        <w:keepNext/>
        <w:keepLines/>
      </w:pPr>
      <w:r>
        <w:rPr>
          <w:b/>
          <w:color w:val="047857"/>
          <w:sz w:val="16"/>
        </w:rPr>
        <w:t>ESSENTIEL · CONTRÔLE</w:t>
      </w:r>
    </w:p>
    <w:p>
      <w:pPr>
        <w:pStyle w:val="Heading1"/>
      </w:pPr>
      <w:r>
        <w:t>1. Identité, statut et contrôle du document</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Entreprise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raison sociale ou nom d'usage]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Projet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nom court et compréhensible]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Type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création ou refonte]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Responsable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fonction, sans donnée personnelle inutile]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Version / statut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ex. v0.3 — validé en interne]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Date limite de réponse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date et fuseau si utile]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Diffusion</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interne, candidats, confidentiel]</w:t>
            </w:r>
          </w:p>
        </w:tc>
      </w:tr>
    </w:tbl>
    <w:p>
      <w:pPr>
        <w:spacing w:after="0"/>
      </w:pPr>
    </w:p>
    <w:p>
      <w:pPr>
        <w:spacing w:before="100" w:after="140" w:line="283" w:lineRule="auto"/>
        <w:ind w:left="115" w:right="115"/>
        <w:shd w:fill="F6F8FB"/>
        <w:pBdr>
          <w:top w:val="single" w:sz="6" w:space="4" w:color="5B6472"/>
          <w:left w:val="single" w:sz="6" w:space="4" w:color="5B6472"/>
          <w:bottom w:val="single" w:sz="6" w:space="4" w:color="5B6472"/>
          <w:right w:val="single" w:sz="6" w:space="4" w:color="5B6472"/>
        </w:pBdr>
        <w:keepLines/>
      </w:pPr>
      <w:r>
        <w:rPr>
          <w:b/>
          <w:color w:val="5B6472"/>
        </w:rPr>
        <w:t xml:space="preserve">Portée du document — </w:t>
      </w:r>
      <w:r>
        <w:rPr>
          <w:color w:val="1F2937"/>
        </w:rPr>
        <w:t>Ce cahier des charges exprime un besoin. Il peut devenir une pièce contractuelle s'il est intégré au contrat ; sa portée dépend de l'ensemble contractuel et de l'ordre de priorité des documents. Faites valider les clauses adaptées à votre situation.</w:t>
      </w:r>
    </w:p>
    <w:p>
      <w:r>
        <w:br w:type="page"/>
      </w:r>
    </w:p>
    <w:p>
      <w:pPr>
        <w:pStyle w:val="Heading1"/>
      </w:pPr>
      <w:r>
        <w:t>Mode d'emploi — 60 à 90 minutes pour une première version</w:t>
      </w:r>
    </w:p>
    <w:p>
      <w:pPr>
        <w:pStyle w:val="ListNumber"/>
        <w:keepLines/>
      </w:pPr>
      <w:r>
        <w:t>Commencez par les rubriques ESSENTIEL. Une réponse honnête « à confirmer » vaut mieux qu'une invention.</w:t>
      </w:r>
    </w:p>
    <w:p>
      <w:pPr>
        <w:pStyle w:val="ListNumber"/>
        <w:keepLines/>
      </w:pPr>
      <w:r>
        <w:t>Utilisez ce document comme socle de cadrage. Pour une vente en ligne, des comptes utilisateurs, plusieurs langues ou une activité réglementée, ajoutez un module dédié et faites valider les obligations propres au service avant la consultation.</w:t>
      </w:r>
    </w:p>
    <w:p>
      <w:pPr>
        <w:pStyle w:val="ListNumber"/>
        <w:keepLines/>
      </w:pPr>
      <w:r>
        <w:t>Supprimez les consignes et lignes inutiles avant envoi ; gardez la version source et diffusez la même version PDF à tous les candidats.</w:t>
      </w:r>
    </w:p>
    <w:p>
      <w:pPr>
        <w:pStyle w:val="ListNumber"/>
        <w:keepLines/>
      </w:pPr>
      <w:r>
        <w:t>Centralisez les questions et envoyez les mêmes réponses à tous sous forme d'addendum daté.</w:t>
      </w:r>
    </w:p>
    <w:p>
      <w:pPr>
        <w:pStyle w:val="ListNumber"/>
        <w:keepLines/>
      </w:pPr>
      <w:r>
        <w:t>Demandez aux prestataires de distinguer ce qui est inclus, partiel, optionnel, proposé autrement ou exclu.</w:t>
      </w:r>
    </w:p>
    <w:p>
      <w:pPr>
        <w:pStyle w:val="ListNumber"/>
        <w:keepLines/>
      </w:pPr>
      <w:r>
        <w:t>Utilisez la grille de recette du kit pour préparer les contrôles avant même de choisir le prestataire.</w:t>
      </w:r>
    </w:p>
    <w:p>
      <w:pPr>
        <w:spacing w:before="100" w:after="140" w:line="283" w:lineRule="auto"/>
        <w:ind w:left="115" w:right="115"/>
        <w:shd w:fill="EAF7F2"/>
        <w:pBdr>
          <w:top w:val="single" w:sz="6" w:space="4" w:color="047857"/>
          <w:left w:val="single" w:sz="6" w:space="4" w:color="047857"/>
          <w:bottom w:val="single" w:sz="6" w:space="4" w:color="047857"/>
          <w:right w:val="single" w:sz="6" w:space="4" w:color="047857"/>
        </w:pBdr>
        <w:keepLines/>
      </w:pPr>
      <w:r>
        <w:rPr>
          <w:b/>
          <w:color w:val="047857"/>
        </w:rPr>
        <w:t xml:space="preserve">Légende — </w:t>
      </w:r>
      <w:r>
        <w:rPr>
          <w:color w:val="1F2937"/>
        </w:rPr>
        <w:t>ESSENTIEL = nécessaire pour comparer les offres · OPTIONNEL = à conserver si pertinent · PRESTATAIRE RÉPOND = réponse obligatoire dans l'offre · À FAIRE VALIDER = arbitrage juridique, sécurité ou métier à confirmer.</w:t>
      </w:r>
    </w:p>
    <w:p>
      <w:pPr>
        <w:pStyle w:val="Heading2"/>
      </w:pPr>
      <w:r>
        <w:t>Mini-diagnostic : quels modules garder ?</w:t>
      </w:r>
    </w:p>
    <w:tbl>
      <w:tblPr>
        <w:tblStyle w:val="TableGrid"/>
        <w:tblW w:type="dxa" w:w="9360"/>
        <w:jc w:val="left"/>
        <w:tblLayout w:type="fixed"/>
        <w:tblLook w:firstColumn="1" w:firstRow="1" w:lastColumn="0" w:lastRow="0" w:noHBand="0" w:noVBand="1" w:val="04A0"/>
        <w:tblInd w:w="120" w:type="dxa"/>
      </w:tblPr>
      <w:tblGrid>
        <w:gridCol w:w="2700"/>
        <w:gridCol w:w="4260"/>
        <w:gridCol w:w="2400"/>
      </w:tblGrid>
      <w:tr>
        <w:trPr>
          <w:cantSplit/>
          <w:tblHeader w:val="true"/>
        </w:trPr>
        <w:tc>
          <w:tcPr>
            <w:tcW w:type="dxa" w:w="27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QUESTION</w:t>
            </w:r>
          </w:p>
        </w:tc>
        <w:tc>
          <w:tcPr>
            <w:tcW w:type="dxa" w:w="42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CONSÉQUENCE</w:t>
            </w:r>
          </w:p>
        </w:tc>
        <w:tc>
          <w:tcPr>
            <w:tcW w:type="dxa" w:w="24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VOTRE RÉPONSE</w:t>
            </w:r>
          </w:p>
        </w:tc>
      </w:tr>
      <w:tr>
        <w:trPr>
          <w:cantSplit/>
        </w:trPr>
        <w:tc>
          <w:tcPr>
            <w:tcW w:type="dxa" w:w="270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Refonte d'un site existant ?</w:t>
            </w:r>
          </w:p>
        </w:tc>
        <w:tc>
          <w:tcPr>
            <w:tcW w:type="dxa" w:w="426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Garder le module migration SEO et l'inventaire des URL.</w:t>
            </w:r>
          </w:p>
        </w:tc>
        <w:tc>
          <w:tcPr>
            <w:tcW w:type="dxa" w:w="240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[Oui / Non / À confirmer]</w:t>
            </w:r>
          </w:p>
        </w:tc>
      </w:tr>
      <w:tr>
        <w:trPr>
          <w:cantSplit/>
        </w:trPr>
        <w:tc>
          <w:tcPr>
            <w:tcW w:type="dxa" w:w="2700"/>
            <w:tcMar>
              <w:top w:w="100" w:type="dxa"/>
              <w:start w:w="120" w:type="dxa"/>
              <w:bottom w:w="100" w:type="dxa"/>
              <w:end w:w="120" w:type="dxa"/>
            </w:tcMar>
            <w:vAlign w:val="center"/>
          </w:tcPr>
          <w:p>
            <w:pPr>
              <w:spacing w:after="0" w:line="264" w:lineRule="auto"/>
            </w:pPr>
            <w:r/>
            <w:r>
              <w:rPr>
                <w:rFonts w:ascii="Calibri" w:hAnsi="Calibri"/>
                <w:b w:val="0"/>
                <w:color w:val="1F2937"/>
                <w:sz w:val="16"/>
              </w:rPr>
              <w:t>Vente ou souscription en ligne ?</w:t>
            </w:r>
          </w:p>
        </w:tc>
        <w:tc>
          <w:tcPr>
            <w:tcW w:type="dxa" w:w="4260"/>
            <w:tcMar>
              <w:top w:w="100" w:type="dxa"/>
              <w:start w:w="120" w:type="dxa"/>
              <w:bottom w:w="100" w:type="dxa"/>
              <w:end w:w="120" w:type="dxa"/>
            </w:tcMar>
            <w:vAlign w:val="center"/>
          </w:tcPr>
          <w:p>
            <w:pPr>
              <w:spacing w:after="0" w:line="264" w:lineRule="auto"/>
            </w:pPr>
            <w:r/>
            <w:r>
              <w:rPr>
                <w:rFonts w:ascii="Calibri" w:hAnsi="Calibri"/>
                <w:b w:val="0"/>
                <w:color w:val="1F2937"/>
                <w:sz w:val="16"/>
              </w:rPr>
              <w:t>Ajouter un module catalogue, prix, commande, paiement, livraison, retours, support et obligations B2C/B2B à valider.</w:t>
            </w:r>
          </w:p>
        </w:tc>
        <w:tc>
          <w:tcPr>
            <w:tcW w:type="dxa" w:w="2400"/>
            <w:tcMar>
              <w:top w:w="100" w:type="dxa"/>
              <w:start w:w="120" w:type="dxa"/>
              <w:bottom w:w="100" w:type="dxa"/>
              <w:end w:w="120" w:type="dxa"/>
            </w:tcMar>
            <w:vAlign w:val="center"/>
          </w:tcPr>
          <w:p>
            <w:pPr>
              <w:spacing w:after="0" w:line="264" w:lineRule="auto"/>
            </w:pPr>
            <w:r/>
            <w:r>
              <w:rPr>
                <w:rFonts w:ascii="Calibri" w:hAnsi="Calibri"/>
                <w:b w:val="0"/>
                <w:color w:val="1F2937"/>
                <w:sz w:val="16"/>
              </w:rPr>
              <w:t>[Oui / Non / À confirmer]</w:t>
            </w:r>
          </w:p>
        </w:tc>
      </w:tr>
      <w:tr>
        <w:trPr>
          <w:cantSplit/>
        </w:trPr>
        <w:tc>
          <w:tcPr>
            <w:tcW w:type="dxa" w:w="270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Comptes utilisateurs ou espace client ?</w:t>
            </w:r>
          </w:p>
        </w:tc>
        <w:tc>
          <w:tcPr>
            <w:tcW w:type="dxa" w:w="426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Ajouter authentification, rôles, cycle de vie, récupération, journalisation, sécurité, données et tests d'accès.</w:t>
            </w:r>
          </w:p>
        </w:tc>
        <w:tc>
          <w:tcPr>
            <w:tcW w:type="dxa" w:w="240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[Oui / Non / À confirmer]</w:t>
            </w:r>
          </w:p>
        </w:tc>
      </w:tr>
      <w:tr>
        <w:trPr>
          <w:cantSplit/>
        </w:trPr>
        <w:tc>
          <w:tcPr>
            <w:tcW w:type="dxa" w:w="2700"/>
            <w:tcMar>
              <w:top w:w="100" w:type="dxa"/>
              <w:start w:w="120" w:type="dxa"/>
              <w:bottom w:w="100" w:type="dxa"/>
              <w:end w:w="120" w:type="dxa"/>
            </w:tcMar>
            <w:vAlign w:val="center"/>
          </w:tcPr>
          <w:p>
            <w:pPr>
              <w:spacing w:after="0" w:line="264" w:lineRule="auto"/>
            </w:pPr>
            <w:r/>
            <w:r>
              <w:rPr>
                <w:rFonts w:ascii="Calibri" w:hAnsi="Calibri"/>
                <w:b w:val="0"/>
                <w:color w:val="1F2937"/>
                <w:sz w:val="16"/>
              </w:rPr>
              <w:t>Connexion à un CRM, ERP, agenda ou paiement ?</w:t>
            </w:r>
          </w:p>
        </w:tc>
        <w:tc>
          <w:tcPr>
            <w:tcW w:type="dxa" w:w="4260"/>
            <w:tcMar>
              <w:top w:w="100" w:type="dxa"/>
              <w:start w:w="120" w:type="dxa"/>
              <w:bottom w:w="100" w:type="dxa"/>
              <w:end w:w="120" w:type="dxa"/>
            </w:tcMar>
            <w:vAlign w:val="center"/>
          </w:tcPr>
          <w:p>
            <w:pPr>
              <w:spacing w:after="0" w:line="264" w:lineRule="auto"/>
            </w:pPr>
            <w:r/>
            <w:r>
              <w:rPr>
                <w:rFonts w:ascii="Calibri" w:hAnsi="Calibri"/>
                <w:b w:val="0"/>
                <w:color w:val="1F2937"/>
                <w:sz w:val="16"/>
              </w:rPr>
              <w:t>Garder intégrations, données de test et solution de secours.</w:t>
            </w:r>
          </w:p>
        </w:tc>
        <w:tc>
          <w:tcPr>
            <w:tcW w:type="dxa" w:w="2400"/>
            <w:tcMar>
              <w:top w:w="100" w:type="dxa"/>
              <w:start w:w="120" w:type="dxa"/>
              <w:bottom w:w="100" w:type="dxa"/>
              <w:end w:w="120" w:type="dxa"/>
            </w:tcMar>
            <w:vAlign w:val="center"/>
          </w:tcPr>
          <w:p>
            <w:pPr>
              <w:spacing w:after="0" w:line="264" w:lineRule="auto"/>
            </w:pPr>
            <w:r/>
            <w:r>
              <w:rPr>
                <w:rFonts w:ascii="Calibri" w:hAnsi="Calibri"/>
                <w:b w:val="0"/>
                <w:color w:val="1F2937"/>
                <w:sz w:val="16"/>
              </w:rPr>
              <w:t>[Oui / Non / À confirmer]</w:t>
            </w:r>
          </w:p>
        </w:tc>
      </w:tr>
      <w:tr>
        <w:trPr>
          <w:cantSplit/>
        </w:trPr>
        <w:tc>
          <w:tcPr>
            <w:tcW w:type="dxa" w:w="270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Données sensibles ou activité réglementée ?</w:t>
            </w:r>
          </w:p>
        </w:tc>
        <w:tc>
          <w:tcPr>
            <w:tcW w:type="dxa" w:w="426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Escalade vers les spécialistes compétents avant chiffrage.</w:t>
            </w:r>
          </w:p>
        </w:tc>
        <w:tc>
          <w:tcPr>
            <w:tcW w:type="dxa" w:w="2400"/>
            <w:shd w:fill="F6F8FB"/>
            <w:tcMar>
              <w:top w:w="100" w:type="dxa"/>
              <w:start w:w="120" w:type="dxa"/>
              <w:bottom w:w="100" w:type="dxa"/>
              <w:end w:w="120" w:type="dxa"/>
            </w:tcMar>
            <w:vAlign w:val="center"/>
          </w:tcPr>
          <w:p>
            <w:pPr>
              <w:spacing w:after="0" w:line="264" w:lineRule="auto"/>
            </w:pPr>
            <w:r/>
            <w:r>
              <w:rPr>
                <w:rFonts w:ascii="Calibri" w:hAnsi="Calibri"/>
                <w:b w:val="0"/>
                <w:color w:val="1F2937"/>
                <w:sz w:val="16"/>
              </w:rPr>
              <w:t>[Oui / Non / À confirmer]</w:t>
            </w:r>
          </w:p>
        </w:tc>
      </w:tr>
      <w:tr>
        <w:trPr>
          <w:cantSplit/>
        </w:trPr>
        <w:tc>
          <w:tcPr>
            <w:tcW w:type="dxa" w:w="2700"/>
            <w:tcMar>
              <w:top w:w="100" w:type="dxa"/>
              <w:start w:w="120" w:type="dxa"/>
              <w:bottom w:w="100" w:type="dxa"/>
              <w:end w:w="120" w:type="dxa"/>
            </w:tcMar>
            <w:vAlign w:val="center"/>
          </w:tcPr>
          <w:p>
            <w:pPr>
              <w:spacing w:after="0" w:line="264" w:lineRule="auto"/>
            </w:pPr>
            <w:r/>
            <w:r>
              <w:rPr>
                <w:rFonts w:ascii="Calibri" w:hAnsi="Calibri"/>
                <w:b w:val="0"/>
                <w:color w:val="1F2937"/>
                <w:sz w:val="16"/>
              </w:rPr>
              <w:t>Plusieurs langues ?</w:t>
            </w:r>
          </w:p>
        </w:tc>
        <w:tc>
          <w:tcPr>
            <w:tcW w:type="dxa" w:w="4260"/>
            <w:tcMar>
              <w:top w:w="100" w:type="dxa"/>
              <w:start w:w="120" w:type="dxa"/>
              <w:bottom w:w="100" w:type="dxa"/>
              <w:end w:w="120" w:type="dxa"/>
            </w:tcMar>
            <w:vAlign w:val="center"/>
          </w:tcPr>
          <w:p>
            <w:pPr>
              <w:spacing w:after="0" w:line="264" w:lineRule="auto"/>
            </w:pPr>
            <w:r/>
            <w:r>
              <w:rPr>
                <w:rFonts w:ascii="Calibri" w:hAnsi="Calibri"/>
                <w:b w:val="0"/>
                <w:color w:val="1F2937"/>
                <w:sz w:val="16"/>
              </w:rPr>
              <w:t>Ajouter langues et variantes, traduction, validation, gestion éditoriale, URL et SEO par langue.</w:t>
            </w:r>
          </w:p>
        </w:tc>
        <w:tc>
          <w:tcPr>
            <w:tcW w:type="dxa" w:w="2400"/>
            <w:tcMar>
              <w:top w:w="100" w:type="dxa"/>
              <w:start w:w="120" w:type="dxa"/>
              <w:bottom w:w="100" w:type="dxa"/>
              <w:end w:w="120" w:type="dxa"/>
            </w:tcMar>
            <w:vAlign w:val="center"/>
          </w:tcPr>
          <w:p>
            <w:pPr>
              <w:spacing w:after="0" w:line="264" w:lineRule="auto"/>
            </w:pPr>
            <w:r/>
            <w:r>
              <w:rPr>
                <w:rFonts w:ascii="Calibri" w:hAnsi="Calibri"/>
                <w:b w:val="0"/>
                <w:color w:val="1F2937"/>
                <w:sz w:val="16"/>
              </w:rPr>
              <w:t>[Oui / Non / À confirmer]</w:t>
            </w:r>
          </w:p>
        </w:tc>
      </w:tr>
    </w:tbl>
    <w:p>
      <w:pPr>
        <w:spacing w:after="0"/>
      </w:pPr>
    </w:p>
    <w:p>
      <w:pPr>
        <w:pStyle w:val="Heading2"/>
      </w:pPr>
      <w:r>
        <w:t>Journal des versions</w:t>
      </w:r>
    </w:p>
    <w:tbl>
      <w:tblPr>
        <w:tblStyle w:val="TableGrid"/>
        <w:tblW w:type="dxa" w:w="9360"/>
        <w:jc w:val="left"/>
        <w:tblLayout w:type="fixed"/>
        <w:tblLook w:firstColumn="1" w:firstRow="1" w:lastColumn="0" w:lastRow="0" w:noHBand="0" w:noVBand="1" w:val="04A0"/>
        <w:tblInd w:w="120" w:type="dxa"/>
      </w:tblPr>
      <w:tblGrid>
        <w:gridCol w:w="1100"/>
        <w:gridCol w:w="1600"/>
        <w:gridCol w:w="2360"/>
        <w:gridCol w:w="4300"/>
      </w:tblGrid>
      <w:tr>
        <w:trPr>
          <w:cantSplit/>
          <w:tblHeader w:val="true"/>
        </w:trPr>
        <w:tc>
          <w:tcPr>
            <w:tcW w:type="dxa" w:w="11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VERSION</w:t>
            </w:r>
          </w:p>
        </w:tc>
        <w:tc>
          <w:tcPr>
            <w:tcW w:type="dxa" w:w="16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DATE</w:t>
            </w:r>
          </w:p>
        </w:tc>
        <w:tc>
          <w:tcPr>
            <w:tcW w:type="dxa" w:w="23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RESPONSABLE</w:t>
            </w:r>
          </w:p>
        </w:tc>
        <w:tc>
          <w:tcPr>
            <w:tcW w:type="dxa" w:w="43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MODIFICATION</w:t>
            </w:r>
          </w:p>
        </w:tc>
      </w:tr>
      <w:tr>
        <w:trPr>
          <w:cantSplit/>
        </w:trPr>
        <w:tc>
          <w:tcPr>
            <w:tcW w:type="dxa" w:w="11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3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43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1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3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43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keepNext/>
        <w:keepLines/>
      </w:pPr>
      <w:r>
        <w:rPr>
          <w:b/>
          <w:color w:val="047857"/>
          <w:sz w:val="16"/>
        </w:rPr>
        <w:t>ESSENTIEL · LE DIRIGEANT DÉCIDE</w:t>
      </w:r>
    </w:p>
    <w:p>
      <w:pPr>
        <w:pStyle w:val="Heading1"/>
      </w:pPr>
      <w:r>
        <w:t>2. Synthèse décisionnelle</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Une page claire évite que les candidats découvrent le vrai projet au milieu d'une annexe.</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Point de vigilance — </w:t>
      </w:r>
      <w:r>
        <w:rPr>
          <w:color w:val="1F2937"/>
        </w:rPr>
        <w:t>Un objectif commercial ou SEO sert au pilotage ; il ne devient pas automatiquement une obligation de résultat du prestataire.</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Problème métier</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ce qui ne fonctionne plus aujourd'hui]</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Pourquoi maintenant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déclencheur réel]</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Résultat principal</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résultat métier, pas une fonctionnalité]</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Résultats secondaires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deux maximum]</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Public prioritaire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qui doit réussir son parcours]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Action principale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ce que le visiteur doit pouvoir faire]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Indispensable au lancement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éléments non négociables]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Hors périmètre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ce que le projet ne comprend pas]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Budget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fourchette HT/TTC et coûts récurrents]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Date et raison</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souhaitée ou impérative]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Décideur final</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fonction et mode d'arbitrage]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Projet réussi</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définition simple et observable]</w:t>
            </w:r>
          </w:p>
        </w:tc>
      </w:tr>
    </w:tbl>
    <w:p>
      <w:pPr>
        <w:spacing w:after="0"/>
      </w:pPr>
    </w:p>
    <w:p>
      <w:pPr>
        <w:pStyle w:val="Heading2"/>
      </w:pPr>
      <w:r>
        <w:t>Ce que le prestataire doit préciser</w:t>
      </w:r>
    </w:p>
    <w:p>
      <w:pPr>
        <w:pStyle w:val="ListBullet"/>
        <w:keepLines/>
      </w:pPr>
      <w:r>
        <w:t>Reformuler le problème et signaler les hypothèses qui influencent prix ou délai.</w:t>
      </w:r>
    </w:p>
    <w:p>
      <w:pPr>
        <w:pStyle w:val="ListBullet"/>
        <w:keepLines/>
      </w:pPr>
      <w:r>
        <w:t>Indiquer explicitement toute exclusion ou alternative proposée.</w:t>
      </w:r>
    </w:p>
    <w:p>
      <w:pPr>
        <w:pStyle w:val="ListBullet"/>
        <w:keepLines/>
      </w:pPr>
      <w:r>
        <w:t>Séparer le prix initial, les options, les coûts récurrents et le coût de sortie.</w:t>
      </w:r>
    </w:p>
    <w:p>
      <w:pPr>
        <w:pStyle w:val="Heading2"/>
      </w:pPr>
      <w:r>
        <w:t>La section est terminée lorsque…</w:t>
      </w:r>
    </w:p>
    <w:p>
      <w:pPr>
        <w:pStyle w:val="ListBullet"/>
        <w:keepLines/>
      </w:pPr>
      <w:r>
        <w:t>Un lecteur externe comprend le projet en moins de trois minutes.</w:t>
      </w:r>
    </w:p>
    <w:p>
      <w:pPr>
        <w:pStyle w:val="ListBullet"/>
        <w:keepLines/>
      </w:pPr>
      <w:r>
        <w:t>Les indispensables et les exclusions ne se contredisent pas.</w:t>
      </w:r>
    </w:p>
    <w:p>
      <w:pPr>
        <w:pStyle w:val="ListBullet"/>
        <w:keepLines/>
      </w:pPr>
      <w:r>
        <w:t>Le budget, la date et le décideur sont explicites ou assumés « à confirmer ».</w:t>
      </w:r>
    </w:p>
    <w:p>
      <w:pPr>
        <w:keepNext/>
        <w:keepLines/>
      </w:pPr>
      <w:r>
        <w:rPr>
          <w:b/>
          <w:color w:val="047857"/>
          <w:sz w:val="16"/>
        </w:rPr>
        <w:t>ESSENTIEL</w:t>
      </w:r>
    </w:p>
    <w:p>
      <w:pPr>
        <w:pStyle w:val="Heading1"/>
      </w:pPr>
      <w:r>
        <w:t>3. Entreprise, activité et situation actuelle</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Le même site n'a pas le même rôle selon le cycle de vente, la saisonnalité, l'équipe et les outils déjà en place.</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Activité et offres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décrire simplement ce qui est vendu]</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Taille et organisation</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effectif et personnes impliquées]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Clients et zone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segments et territoire]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Cycle de vente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durée et étapes]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Saisonnalité</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périodes fortes ou contraintes]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Site actuel</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URL, technologie connue, année]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Ce qui fonctionne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actifs à préserver]</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Irritants observés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faits ou retours, pas des adjectifs]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Actifs disponibles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domaine, contenus, photos, charte, comptes]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Pourquoi ne pas conserver l'existant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limite déterminante]</w:t>
            </w:r>
          </w:p>
        </w:tc>
      </w:tr>
    </w:tbl>
    <w:p>
      <w:pPr>
        <w:spacing w:after="0"/>
      </w:pPr>
    </w:p>
    <w:p>
      <w:pPr>
        <w:pStyle w:val="Heading2"/>
      </w:pPr>
      <w:r>
        <w:t>Ce que le prestataire doit préciser</w:t>
      </w:r>
    </w:p>
    <w:p>
      <w:pPr>
        <w:pStyle w:val="ListBullet"/>
        <w:keepLines/>
      </w:pPr>
      <w:r>
        <w:t>Confirmer sa compréhension du contexte et lister les informations manquantes.</w:t>
      </w:r>
    </w:p>
    <w:p>
      <w:pPr>
        <w:pStyle w:val="ListBullet"/>
        <w:keepLines/>
      </w:pPr>
      <w:r>
        <w:t>Identifier les actifs réutilisables, les dépendances et les licences à vérifier.</w:t>
      </w:r>
    </w:p>
    <w:p>
      <w:pPr>
        <w:pStyle w:val="ListBullet"/>
        <w:keepLines/>
      </w:pPr>
      <w:r>
        <w:t>Proposer, si pertinent, une option plus simple qu'une refonte complète.</w:t>
      </w:r>
    </w:p>
    <w:p>
      <w:pPr>
        <w:pStyle w:val="Heading2"/>
      </w:pPr>
      <w:r>
        <w:t>La section est terminée lorsque…</w:t>
      </w:r>
    </w:p>
    <w:p>
      <w:pPr>
        <w:pStyle w:val="ListBullet"/>
        <w:keepLines/>
      </w:pPr>
      <w:r>
        <w:t>Les contraintes qui changent le périmètre sont visibles.</w:t>
      </w:r>
    </w:p>
    <w:p>
      <w:pPr>
        <w:pStyle w:val="ListBullet"/>
        <w:keepLines/>
      </w:pPr>
      <w:r>
        <w:t>Les accès existants sont listés sans inclure de secrets.</w:t>
      </w:r>
    </w:p>
    <w:p>
      <w:pPr>
        <w:pStyle w:val="ListBullet"/>
        <w:keepLines/>
      </w:pPr>
      <w:r>
        <w:t>Les éléments à préserver et ceux à remettre en question sont distingués.</w:t>
      </w:r>
    </w:p>
    <w:p>
      <w:pPr>
        <w:keepNext/>
        <w:keepLines/>
      </w:pPr>
      <w:r>
        <w:rPr>
          <w:b/>
          <w:color w:val="047857"/>
          <w:sz w:val="16"/>
        </w:rPr>
        <w:t>ESSENTIEL · MESURE</w:t>
      </w:r>
    </w:p>
    <w:p>
      <w:pPr>
        <w:pStyle w:val="Heading1"/>
      </w:pPr>
      <w:r>
        <w:t>4. Objectifs, situation de départ et mesure</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Une cible sans point de départ ni source ne permet ni pilotage ni apprentissage.</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Point de vigilance — </w:t>
      </w:r>
      <w:r>
        <w:rPr>
          <w:color w:val="1F2937"/>
        </w:rPr>
        <w:t>Une cible est une hypothèse de pilotage. Le kit n'en fait pas une promesse de résultat.</w:t>
      </w:r>
    </w:p>
    <w:tbl>
      <w:tblPr>
        <w:tblStyle w:val="TableGrid"/>
        <w:tblW w:type="dxa" w:w="9360"/>
        <w:jc w:val="left"/>
        <w:tblLayout w:type="fixed"/>
        <w:tblLook w:firstColumn="1" w:firstRow="1" w:lastColumn="0" w:lastRow="0" w:noHBand="0" w:noVBand="1" w:val="04A0"/>
        <w:tblInd w:w="120" w:type="dxa"/>
      </w:tblPr>
      <w:tblGrid>
        <w:gridCol w:w="850"/>
        <w:gridCol w:w="2300"/>
        <w:gridCol w:w="2350"/>
        <w:gridCol w:w="2460"/>
        <w:gridCol w:w="1400"/>
      </w:tblGrid>
      <w:tr>
        <w:trPr>
          <w:cantSplit/>
          <w:tblHeader w:val="true"/>
        </w:trPr>
        <w:tc>
          <w:tcPr>
            <w:tcW w:type="dxa" w:w="85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ID</w:t>
            </w:r>
          </w:p>
        </w:tc>
        <w:tc>
          <w:tcPr>
            <w:tcW w:type="dxa" w:w="23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OBJECTIF / CRITÈRE</w:t>
            </w:r>
          </w:p>
        </w:tc>
        <w:tc>
          <w:tcPr>
            <w:tcW w:type="dxa" w:w="235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DÉPART &amp; SOURCE</w:t>
            </w:r>
          </w:p>
        </w:tc>
        <w:tc>
          <w:tcPr>
            <w:tcW w:type="dxa" w:w="24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CIBLE / HORIZON</w:t>
            </w:r>
          </w:p>
        </w:tc>
        <w:tc>
          <w:tcPr>
            <w:tcW w:type="dxa" w:w="14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SUIVI</w:t>
            </w:r>
          </w:p>
        </w:tc>
      </w:tr>
      <w:tr>
        <w:trPr>
          <w:cantSplit/>
        </w:trPr>
        <w:tc>
          <w:tcPr>
            <w:tcW w:type="dxa" w:w="85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3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3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85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3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3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85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3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3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85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3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3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spacing w:before="100" w:after="140" w:line="283" w:lineRule="auto"/>
        <w:ind w:left="115" w:right="115"/>
        <w:shd w:fill="EAF7F2"/>
        <w:pBdr>
          <w:top w:val="single" w:sz="6" w:space="4" w:color="047857"/>
          <w:left w:val="single" w:sz="6" w:space="4" w:color="047857"/>
          <w:bottom w:val="single" w:sz="6" w:space="4" w:color="047857"/>
          <w:right w:val="single" w:sz="6" w:space="4" w:color="047857"/>
        </w:pBdr>
        <w:keepLines/>
      </w:pPr>
      <w:r>
        <w:rPr>
          <w:b/>
          <w:color w:val="047857"/>
        </w:rPr>
        <w:t xml:space="preserve">Lecture — </w:t>
      </w:r>
      <w:r>
        <w:rPr>
          <w:color w:val="1F2937"/>
        </w:rPr>
        <w:t>OBJ-01 est un résultat métier à suivre. REC-01 est un critère de livraison qui peut être testé pendant la recette.</w:t>
      </w:r>
    </w:p>
    <w:p>
      <w:pPr>
        <w:pStyle w:val="Heading2"/>
      </w:pPr>
      <w:r>
        <w:t>Ce que le prestataire doit préciser</w:t>
      </w:r>
    </w:p>
    <w:p>
      <w:pPr>
        <w:pStyle w:val="ListBullet"/>
        <w:keepLines/>
      </w:pPr>
      <w:r>
        <w:t>Distinguer les résultats métier qu'il contribue à favoriser des critères de livraison qu'il contrôle.</w:t>
      </w:r>
    </w:p>
    <w:p>
      <w:pPr>
        <w:pStyle w:val="ListBullet"/>
        <w:keepLines/>
      </w:pPr>
      <w:r>
        <w:t>Décrire les événements mesurés, leur déclenchement et la procédure de vérification.</w:t>
      </w:r>
    </w:p>
    <w:p>
      <w:pPr>
        <w:pStyle w:val="ListBullet"/>
        <w:keepLines/>
      </w:pPr>
      <w:r>
        <w:t>Ne garantir ni chiffre d'affaires, ni volume de contacts, ni position dans un moteur de recherche.</w:t>
      </w:r>
    </w:p>
    <w:p>
      <w:pPr>
        <w:pStyle w:val="Heading2"/>
      </w:pPr>
      <w:r>
        <w:t>La section est terminée lorsque…</w:t>
      </w:r>
    </w:p>
    <w:p>
      <w:pPr>
        <w:pStyle w:val="ListBullet"/>
        <w:keepLines/>
      </w:pPr>
      <w:r>
        <w:t>Chaque objectif a une source de départ, une cible, un horizon et un responsable.</w:t>
      </w:r>
    </w:p>
    <w:p>
      <w:pPr>
        <w:pStyle w:val="ListBullet"/>
        <w:keepLines/>
      </w:pPr>
      <w:r>
        <w:t>Les objectifs métier et les critères de recette figurent dans deux listes différentes.</w:t>
      </w:r>
    </w:p>
    <w:p>
      <w:pPr>
        <w:pStyle w:val="ListBullet"/>
        <w:keepLines/>
      </w:pPr>
      <w:r>
        <w:t>La collecte de mesure est proportionnée et ses conditions juridiques restent à valider.</w:t>
      </w:r>
    </w:p>
    <w:p>
      <w:pPr>
        <w:keepNext/>
        <w:keepLines/>
      </w:pPr>
      <w:r>
        <w:rPr>
          <w:b/>
          <w:color w:val="047857"/>
          <w:sz w:val="16"/>
        </w:rPr>
        <w:t>ESSENTIEL · PÉDAGOGIE</w:t>
      </w:r>
    </w:p>
    <w:p>
      <w:pPr>
        <w:pStyle w:val="Heading1"/>
      </w:pPr>
      <w:r>
        <w:t>5. Publics et parcours principaux</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 parcours réel aide davantage à concevoir qu'un persona décoratif rempli d'informations sans effet sur le site.</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Public prioritaire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situation, besoin, obstacle]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Ce qu'il doit comprendre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message ou preuve]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Ce qui le rassure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preuves attendues]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Contexte d'usage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appareil, environnement, urgence]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Action attendue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verbe et résultat]</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Obstacle fréquent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raison d'abandon]</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Parcours secondaire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autre public utile]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Erreur / abandon</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ce qui doit arriver]</w:t>
            </w:r>
          </w:p>
        </w:tc>
      </w:tr>
    </w:tbl>
    <w:p>
      <w:pPr>
        <w:spacing w:after="0"/>
      </w:pPr>
    </w:p>
    <w:p>
      <w:pPr>
        <w:pStyle w:val="Heading2"/>
      </w:pPr>
      <w:r>
        <w:t>Ce que le prestataire doit préciser</w:t>
      </w:r>
    </w:p>
    <w:p>
      <w:pPr>
        <w:pStyle w:val="ListBullet"/>
        <w:keepLines/>
      </w:pPr>
      <w:r>
        <w:t>Cartographier les étapes et états nécessaires, y compris chargement, erreur, confirmation et absence de résultat.</w:t>
      </w:r>
    </w:p>
    <w:p>
      <w:pPr>
        <w:pStyle w:val="ListBullet"/>
        <w:keepLines/>
      </w:pPr>
      <w:r>
        <w:t>Signaler les informations manquantes qui empêchent de concevoir un parcours.</w:t>
      </w:r>
    </w:p>
    <w:p>
      <w:pPr>
        <w:pStyle w:val="ListBullet"/>
        <w:keepLines/>
      </w:pPr>
      <w:r>
        <w:t>Indiquer les responsabilités de traitement après chaque demande reçue.</w:t>
      </w:r>
    </w:p>
    <w:p>
      <w:pPr>
        <w:pStyle w:val="Heading2"/>
      </w:pPr>
      <w:r>
        <w:t>La section est terminée lorsque…</w:t>
      </w:r>
    </w:p>
    <w:p>
      <w:pPr>
        <w:pStyle w:val="ListBullet"/>
        <w:keepLines/>
      </w:pPr>
      <w:r>
        <w:t>Chaque public modifie réellement un contenu, une preuve ou un parcours.</w:t>
      </w:r>
    </w:p>
    <w:p>
      <w:pPr>
        <w:pStyle w:val="ListBullet"/>
        <w:keepLines/>
      </w:pPr>
      <w:r>
        <w:t>Les erreurs et confirmations sont décrites, pas seulement le scénario idéal.</w:t>
      </w:r>
    </w:p>
    <w:p>
      <w:pPr>
        <w:pStyle w:val="ListBullet"/>
        <w:keepLines/>
      </w:pPr>
      <w:r>
        <w:t>Le responsable interne de chaque demande est identifié.</w:t>
      </w:r>
    </w:p>
    <w:p>
      <w:pPr>
        <w:keepNext/>
        <w:keepLines/>
      </w:pPr>
      <w:r>
        <w:rPr>
          <w:b/>
          <w:color w:val="047857"/>
          <w:sz w:val="16"/>
        </w:rPr>
        <w:t>ESSENTIEL · COMPARAISON DES OFFRES</w:t>
      </w:r>
    </w:p>
    <w:p>
      <w:pPr>
        <w:pStyle w:val="Heading1"/>
      </w:pPr>
      <w:r>
        <w:t>6. Périmètre, pages et contenus</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Le nombre de pages ne suffit pas : chaque page doit avoir un but, un propriétaire de contenu et un statut de migration.</w:t>
      </w:r>
    </w:p>
    <w:tbl>
      <w:tblPr>
        <w:tblStyle w:val="TableGrid"/>
        <w:tblW w:type="dxa" w:w="9360"/>
        <w:jc w:val="left"/>
        <w:tblLayout w:type="fixed"/>
        <w:tblLook w:firstColumn="1" w:firstRow="1" w:lastColumn="0" w:lastRow="0" w:noHBand="0" w:noVBand="1" w:val="04A0"/>
        <w:tblInd w:w="120" w:type="dxa"/>
      </w:tblPr>
      <w:tblGrid>
        <w:gridCol w:w="1900"/>
        <w:gridCol w:w="2600"/>
        <w:gridCol w:w="1900"/>
        <w:gridCol w:w="1560"/>
        <w:gridCol w:w="1400"/>
      </w:tblGrid>
      <w:tr>
        <w:trPr>
          <w:cantSplit/>
          <w:tblHeader w:val="true"/>
        </w:trPr>
        <w:tc>
          <w:tcPr>
            <w:tcW w:type="dxa" w:w="19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PAGE / LOT</w:t>
            </w:r>
          </w:p>
        </w:tc>
        <w:tc>
          <w:tcPr>
            <w:tcW w:type="dxa" w:w="26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OBJECTIF</w:t>
            </w:r>
          </w:p>
        </w:tc>
        <w:tc>
          <w:tcPr>
            <w:tcW w:type="dxa" w:w="19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TRAITEMENT</w:t>
            </w:r>
          </w:p>
        </w:tc>
        <w:tc>
          <w:tcPr>
            <w:tcW w:type="dxa" w:w="15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RESPONSABLE</w:t>
            </w:r>
          </w:p>
        </w:tc>
        <w:tc>
          <w:tcPr>
            <w:tcW w:type="dxa" w:w="14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STATUT</w:t>
            </w:r>
          </w:p>
        </w:tc>
      </w:tr>
      <w:tr>
        <w:trPr>
          <w:cantSplit/>
        </w:trPr>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5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5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5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5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5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5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4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pStyle w:val="Heading2"/>
      </w:pPr>
      <w:r>
        <w:t>Ce que le prestataire doit préciser</w:t>
      </w:r>
    </w:p>
    <w:p>
      <w:pPr>
        <w:pStyle w:val="ListBullet"/>
        <w:keepLines/>
      </w:pPr>
      <w:r>
        <w:t>Chiffrer séparément création, reprise, réécriture, migration et saisie des contenus.</w:t>
      </w:r>
    </w:p>
    <w:p>
      <w:pPr>
        <w:pStyle w:val="ListBullet"/>
        <w:keepLines/>
      </w:pPr>
      <w:r>
        <w:t>Confirmer le nombre de modèles de page, les limites du CMS et la responsabilité de validation.</w:t>
      </w:r>
    </w:p>
    <w:p>
      <w:pPr>
        <w:pStyle w:val="ListBullet"/>
        <w:keepLines/>
      </w:pPr>
      <w:r>
        <w:t>Identifier les contenus ou droits manquants avant le démarrage.</w:t>
      </w:r>
    </w:p>
    <w:p>
      <w:pPr>
        <w:pStyle w:val="Heading2"/>
      </w:pPr>
      <w:r>
        <w:t>La section est terminée lorsque…</w:t>
      </w:r>
    </w:p>
    <w:p>
      <w:pPr>
        <w:pStyle w:val="ListBullet"/>
        <w:keepLines/>
      </w:pPr>
      <w:r>
        <w:t>Toutes les pages indispensables ont un objectif et un responsable.</w:t>
      </w:r>
    </w:p>
    <w:p>
      <w:pPr>
        <w:pStyle w:val="ListBullet"/>
        <w:keepLines/>
      </w:pPr>
      <w:r>
        <w:t>La V1, les options, la version ultérieure et le hors périmètre sont séparés.</w:t>
      </w:r>
    </w:p>
    <w:p>
      <w:pPr>
        <w:pStyle w:val="ListBullet"/>
        <w:keepLines/>
      </w:pPr>
      <w:r>
        <w:t>Les droits des textes, images, vidéos et documents sont à vérifier.</w:t>
      </w:r>
    </w:p>
    <w:p>
      <w:pPr>
        <w:keepNext/>
        <w:keepLines/>
      </w:pPr>
      <w:r>
        <w:rPr>
          <w:b/>
          <w:color w:val="047857"/>
          <w:sz w:val="16"/>
        </w:rPr>
        <w:t>ESSENTIEL · CHIFFRAGE</w:t>
      </w:r>
    </w:p>
    <w:p>
      <w:pPr>
        <w:pStyle w:val="Heading1"/>
      </w:pPr>
      <w:r>
        <w:t>7. Fonctionnalités et cas limites</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Une fonctionnalité devient chiffrable lorsqu'on décrit le besoin, le comportement, les limites et la preuve attendue.</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Point de vigilance — </w:t>
      </w:r>
      <w:r>
        <w:rPr>
          <w:color w:val="1F2937"/>
        </w:rPr>
        <w:t>Évitez « formulaire standard » ou « moteur rapide ». Décrivez les champs, le destinataire, la confirmation, les erreurs et la preuve attendue.</w:t>
      </w:r>
    </w:p>
    <w:tbl>
      <w:tblPr>
        <w:tblStyle w:val="TableGrid"/>
        <w:tblW w:type="dxa" w:w="9360"/>
        <w:jc w:val="left"/>
        <w:tblLayout w:type="fixed"/>
        <w:tblLook w:firstColumn="1" w:firstRow="1" w:lastColumn="0" w:lastRow="0" w:noHBand="0" w:noVBand="1" w:val="04A0"/>
        <w:tblInd w:w="120" w:type="dxa"/>
      </w:tblPr>
      <w:tblGrid>
        <w:gridCol w:w="900"/>
        <w:gridCol w:w="2050"/>
        <w:gridCol w:w="1700"/>
        <w:gridCol w:w="2200"/>
        <w:gridCol w:w="2510"/>
      </w:tblGrid>
      <w:tr>
        <w:trPr>
          <w:cantSplit/>
          <w:tblHeader w:val="true"/>
        </w:trPr>
        <w:tc>
          <w:tcPr>
            <w:tcW w:type="dxa" w:w="9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ID</w:t>
            </w:r>
          </w:p>
        </w:tc>
        <w:tc>
          <w:tcPr>
            <w:tcW w:type="dxa" w:w="205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BESOIN</w:t>
            </w:r>
          </w:p>
        </w:tc>
        <w:tc>
          <w:tcPr>
            <w:tcW w:type="dxa" w:w="17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PRIORITÉ</w:t>
            </w:r>
          </w:p>
        </w:tc>
        <w:tc>
          <w:tcPr>
            <w:tcW w:type="dxa" w:w="22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CAS LIMITES</w:t>
            </w:r>
          </w:p>
        </w:tc>
        <w:tc>
          <w:tcPr>
            <w:tcW w:type="dxa" w:w="251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PREUVE ATTENDUE</w:t>
            </w:r>
          </w:p>
        </w:tc>
      </w:tr>
      <w:tr>
        <w:trPr>
          <w:cantSplit/>
        </w:trPr>
        <w:tc>
          <w:tcPr>
            <w:tcW w:type="dxa" w:w="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51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51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51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51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9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51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pStyle w:val="Heading2"/>
      </w:pPr>
      <w:r>
        <w:t>Ce que le prestataire doit préciser</w:t>
      </w:r>
    </w:p>
    <w:p>
      <w:pPr>
        <w:pStyle w:val="ListBullet"/>
        <w:keepLines/>
      </w:pPr>
      <w:r>
        <w:t>Répondre pour chaque ligne : inclus, partiel, optionnel, alternative proposée ou exclu.</w:t>
      </w:r>
    </w:p>
    <w:p>
      <w:pPr>
        <w:pStyle w:val="ListBullet"/>
        <w:keepLines/>
      </w:pPr>
      <w:r>
        <w:t>Préciser dépendances, limites de volume, coûts tiers et impact sur le calendrier.</w:t>
      </w:r>
    </w:p>
    <w:p>
      <w:pPr>
        <w:pStyle w:val="ListBullet"/>
        <w:keepLines/>
      </w:pPr>
      <w:r>
        <w:t>Décrire les erreurs, indisponibilités et solutions de secours prévues.</w:t>
      </w:r>
    </w:p>
    <w:p>
      <w:pPr>
        <w:pStyle w:val="Heading2"/>
      </w:pPr>
      <w:r>
        <w:t>La section est terminée lorsque…</w:t>
      </w:r>
    </w:p>
    <w:p>
      <w:pPr>
        <w:pStyle w:val="ListBullet"/>
        <w:keepLines/>
      </w:pPr>
      <w:r>
        <w:t>Chaque indispensable a un identifiant et un critère d'acceptation.</w:t>
      </w:r>
    </w:p>
    <w:p>
      <w:pPr>
        <w:pStyle w:val="ListBullet"/>
        <w:keepLines/>
      </w:pPr>
      <w:r>
        <w:t>Les cas d'erreur et volumes susceptibles de changer l'architecture sont décrits.</w:t>
      </w:r>
    </w:p>
    <w:p>
      <w:pPr>
        <w:pStyle w:val="ListBullet"/>
        <w:keepLines/>
      </w:pPr>
      <w:r>
        <w:t>Les options ne sont pas mélangées au prix de base.</w:t>
      </w:r>
    </w:p>
    <w:p>
      <w:pPr>
        <w:keepNext/>
        <w:keepLines/>
      </w:pPr>
      <w:r>
        <w:rPr>
          <w:b/>
          <w:color w:val="6D28D9"/>
          <w:sz w:val="16"/>
        </w:rPr>
        <w:t>OPTIONNEL · INTÉGRATIONS</w:t>
      </w:r>
    </w:p>
    <w:p>
      <w:pPr>
        <w:pStyle w:val="Heading1"/>
      </w:pPr>
      <w:r>
        <w:t>8. Outils existants, intégrations et données</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Une intégration découverte après le devis est une cause classique d'incertitude, de délai et de coût supplémentaire.</w:t>
      </w:r>
    </w:p>
    <w:tbl>
      <w:tblPr>
        <w:tblStyle w:val="TableGrid"/>
        <w:tblW w:type="dxa" w:w="9360"/>
        <w:jc w:val="left"/>
        <w:tblLayout w:type="fixed"/>
        <w:tblLook w:firstColumn="1" w:firstRow="1" w:lastColumn="0" w:lastRow="0" w:noHBand="0" w:noVBand="1" w:val="04A0"/>
        <w:tblInd w:w="120" w:type="dxa"/>
      </w:tblPr>
      <w:tblGrid>
        <w:gridCol w:w="1600"/>
        <w:gridCol w:w="1800"/>
        <w:gridCol w:w="1950"/>
        <w:gridCol w:w="2050"/>
        <w:gridCol w:w="1960"/>
      </w:tblGrid>
      <w:tr>
        <w:trPr>
          <w:cantSplit/>
          <w:tblHeader w:val="true"/>
        </w:trPr>
        <w:tc>
          <w:tcPr>
            <w:tcW w:type="dxa" w:w="16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OUTIL</w:t>
            </w:r>
          </w:p>
        </w:tc>
        <w:tc>
          <w:tcPr>
            <w:tcW w:type="dxa" w:w="18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FINALITÉ</w:t>
            </w:r>
          </w:p>
        </w:tc>
        <w:tc>
          <w:tcPr>
            <w:tcW w:type="dxa" w:w="195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DONNÉES / SENS</w:t>
            </w:r>
          </w:p>
        </w:tc>
        <w:tc>
          <w:tcPr>
            <w:tcW w:type="dxa" w:w="205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INCONNUE</w:t>
            </w:r>
          </w:p>
        </w:tc>
        <w:tc>
          <w:tcPr>
            <w:tcW w:type="dxa" w:w="19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SECOURS</w:t>
            </w:r>
          </w:p>
        </w:tc>
      </w:tr>
      <w:tr>
        <w:trPr>
          <w:cantSplit/>
        </w:trPr>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05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pStyle w:val="Heading2"/>
      </w:pPr>
      <w:r>
        <w:t>Ce que le prestataire doit préciser</w:t>
      </w:r>
    </w:p>
    <w:p>
      <w:pPr>
        <w:pStyle w:val="ListBullet"/>
        <w:keepLines/>
      </w:pPr>
      <w:r>
        <w:t>Confirmer la faisabilité seulement après accès à une documentation et, si possible, à un compte de test.</w:t>
      </w:r>
    </w:p>
    <w:p>
      <w:pPr>
        <w:pStyle w:val="ListBullet"/>
        <w:keepLines/>
      </w:pPr>
      <w:r>
        <w:t>Décrire les données échangées, la fréquence, la gestion des erreurs et la solution de secours.</w:t>
      </w:r>
    </w:p>
    <w:p>
      <w:pPr>
        <w:pStyle w:val="ListBullet"/>
        <w:keepLines/>
      </w:pPr>
      <w:r>
        <w:t>Isoler une phase d'étude si les inconnues empêchent un engagement ferme.</w:t>
      </w:r>
    </w:p>
    <w:p>
      <w:pPr>
        <w:pStyle w:val="Heading2"/>
      </w:pPr>
      <w:r>
        <w:t>La section est terminée lorsque…</w:t>
      </w:r>
    </w:p>
    <w:p>
      <w:pPr>
        <w:pStyle w:val="ListBullet"/>
        <w:keepLines/>
      </w:pPr>
      <w:r>
        <w:t>Chaque outil a un propriétaire interne et une finalité.</w:t>
      </w:r>
    </w:p>
    <w:p>
      <w:pPr>
        <w:pStyle w:val="ListBullet"/>
        <w:keepLines/>
      </w:pPr>
      <w:r>
        <w:t>Les inconnues sont visibles avant le chiffrage.</w:t>
      </w:r>
    </w:p>
    <w:p>
      <w:pPr>
        <w:pStyle w:val="ListBullet"/>
        <w:keepLines/>
      </w:pPr>
      <w:r>
        <w:t>Aucun secret ni identifiant réel ne figure dans le document.</w:t>
      </w:r>
    </w:p>
    <w:p>
      <w:pPr>
        <w:keepNext/>
        <w:keepLines/>
      </w:pPr>
      <w:r>
        <w:rPr>
          <w:b/>
          <w:color w:val="047857"/>
          <w:sz w:val="16"/>
        </w:rPr>
        <w:t>ESSENTIEL · À ADAPTER AU PÉRIMÈTRE LÉGAL</w:t>
      </w:r>
    </w:p>
    <w:p>
      <w:pPr>
        <w:pStyle w:val="Heading1"/>
      </w:pPr>
      <w:r>
        <w:t>9. Design, expérience et accessibilité</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Des adjectifs comme « moderne » ou « intuitif » ne permettent pas d'évaluer une livraison ; des tâches et états observables, oui.</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Identité disponible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charte, logo, fichiers sources]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À conserver</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repères de marque utiles]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Perception recherchée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effet et justification]</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Références appréciées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URL et raison précise]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Appareils prioritaires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contextes et tâches]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États à concevoir</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erreur, attente, absence]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Périmètre légal</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analyse à faire]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Cible d'accessibilité</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référentiel/tests/preuve]</w:t>
            </w:r>
          </w:p>
        </w:tc>
      </w:tr>
    </w:tbl>
    <w:p>
      <w:pPr>
        <w:spacing w:after="0"/>
      </w:pPr>
    </w:p>
    <w:p>
      <w:pPr>
        <w:pStyle w:val="Heading2"/>
      </w:pPr>
      <w:r>
        <w:t>Ce que le prestataire doit préciser</w:t>
      </w:r>
    </w:p>
    <w:p>
      <w:pPr>
        <w:pStyle w:val="ListBullet"/>
        <w:keepLines/>
      </w:pPr>
      <w:r>
        <w:t>Expliquer la méthode de conception, les états couverts et les tests prévus.</w:t>
      </w:r>
    </w:p>
    <w:p>
      <w:pPr>
        <w:pStyle w:val="ListBullet"/>
        <w:keepLines/>
      </w:pPr>
      <w:r>
        <w:t>Préciser ce qui est vérifié automatiquement et manuellement.</w:t>
      </w:r>
    </w:p>
    <w:p>
      <w:pPr>
        <w:pStyle w:val="ListBullet"/>
        <w:keepLines/>
      </w:pPr>
      <w:r>
        <w:t>Ne revendiquer une conformité RGAA ou WCAG qu'après l'audit approprié.</w:t>
      </w:r>
    </w:p>
    <w:p>
      <w:pPr>
        <w:pStyle w:val="Heading2"/>
      </w:pPr>
      <w:r>
        <w:t>La section est terminée lorsque…</w:t>
      </w:r>
    </w:p>
    <w:p>
      <w:pPr>
        <w:pStyle w:val="ListBullet"/>
        <w:keepLines/>
      </w:pPr>
      <w:r>
        <w:t>Les références sont commentées par raison, pas seulement listées.</w:t>
      </w:r>
    </w:p>
    <w:p>
      <w:pPr>
        <w:pStyle w:val="ListBullet"/>
        <w:keepLines/>
      </w:pPr>
      <w:r>
        <w:t>Les parcours au clavier, le zoom, les contrastes, les labels et messages d'erreur sont testables.</w:t>
      </w:r>
    </w:p>
    <w:p>
      <w:pPr>
        <w:pStyle w:val="ListBullet"/>
        <w:keepLines/>
      </w:pPr>
      <w:r>
        <w:t>Le champ légal est analysé pour le service concerné au lieu d'être présumé.</w:t>
      </w:r>
    </w:p>
    <w:p>
      <w:pPr>
        <w:keepNext/>
        <w:keepLines/>
      </w:pPr>
      <w:r>
        <w:rPr>
          <w:b/>
          <w:color w:val="6D28D9"/>
          <w:sz w:val="16"/>
        </w:rPr>
        <w:t>REFONTE UNIQUEMENT · SEO</w:t>
      </w:r>
    </w:p>
    <w:p>
      <w:pPr>
        <w:pStyle w:val="Heading1"/>
      </w:pPr>
      <w:r>
        <w:t>10. Référencement, mesure et migration</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Une refonte change des URL, des contenus et des signaux techniques ; le plan doit préserver l'information utile sans promettre un classement.</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Point de vigilance — </w:t>
      </w:r>
      <w:r>
        <w:rPr>
          <w:color w:val="1F2937"/>
        </w:rPr>
        <w:t>Une migration peut provoquer des fluctuations temporaires. Les redirections utiles doivent être conservées au moins un an et plus longtemps lorsqu'elles continuent de servir les utilisateurs.</w:t>
      </w:r>
    </w:p>
    <w:tbl>
      <w:tblPr>
        <w:tblStyle w:val="TableGrid"/>
        <w:tblW w:type="dxa" w:w="9360"/>
        <w:jc w:val="left"/>
        <w:tblLayout w:type="fixed"/>
        <w:tblLook w:firstColumn="1" w:firstRow="1" w:lastColumn="0" w:lastRow="0" w:noHBand="0" w:noVBand="1" w:val="04A0"/>
        <w:tblInd w:w="120" w:type="dxa"/>
      </w:tblPr>
      <w:tblGrid>
        <w:gridCol w:w="1700"/>
        <w:gridCol w:w="3100"/>
        <w:gridCol w:w="2700"/>
        <w:gridCol w:w="1860"/>
      </w:tblGrid>
      <w:tr>
        <w:trPr>
          <w:cantSplit/>
          <w:tblHeader w:val="true"/>
        </w:trPr>
        <w:tc>
          <w:tcPr>
            <w:tcW w:type="dxa" w:w="17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LOT</w:t>
            </w:r>
          </w:p>
        </w:tc>
        <w:tc>
          <w:tcPr>
            <w:tcW w:type="dxa" w:w="31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SOURCE / ACTION</w:t>
            </w:r>
          </w:p>
        </w:tc>
        <w:tc>
          <w:tcPr>
            <w:tcW w:type="dxa" w:w="27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PREUVE</w:t>
            </w:r>
          </w:p>
        </w:tc>
        <w:tc>
          <w:tcPr>
            <w:tcW w:type="dxa" w:w="18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MOMENT</w:t>
            </w:r>
          </w:p>
        </w:tc>
      </w:tr>
      <w:tr>
        <w:trPr>
          <w:cantSplit/>
        </w:trPr>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3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8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3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8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3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8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3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8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pStyle w:val="Heading2"/>
      </w:pPr>
      <w:r>
        <w:t>Ce que le prestataire doit préciser</w:t>
      </w:r>
    </w:p>
    <w:p>
      <w:pPr>
        <w:pStyle w:val="ListBullet"/>
        <w:keepLines/>
      </w:pPr>
      <w:r>
        <w:t>Fournir l'inventaire source, le plan ancienne URL vers nouvelle URL et le protocole de validation.</w:t>
      </w:r>
    </w:p>
    <w:p>
      <w:pPr>
        <w:pStyle w:val="ListBullet"/>
        <w:keepLines/>
      </w:pPr>
      <w:r>
        <w:t>Utiliser des redirections permanentes serveur 301 ou 308 vers la destination finale, sans chaînes évitables.</w:t>
      </w:r>
    </w:p>
    <w:p>
      <w:pPr>
        <w:pStyle w:val="ListBullet"/>
        <w:keepLines/>
      </w:pPr>
      <w:r>
        <w:t>Décrire les contrôles avant bascule et la surveillance des erreurs, du trafic et de l'indexation après lancement.</w:t>
      </w:r>
    </w:p>
    <w:p>
      <w:pPr>
        <w:pStyle w:val="Heading2"/>
      </w:pPr>
      <w:r>
        <w:t>La section est terminée lorsque…</w:t>
      </w:r>
    </w:p>
    <w:p>
      <w:pPr>
        <w:pStyle w:val="ListBullet"/>
        <w:keepLines/>
      </w:pPr>
      <w:r>
        <w:t>Chaque ancienne URL utile a une destination pertinente ou une décision justifiée.</w:t>
      </w:r>
    </w:p>
    <w:p>
      <w:pPr>
        <w:pStyle w:val="ListBullet"/>
        <w:keepLines/>
      </w:pPr>
      <w:r>
        <w:t>Les canonical, noindex, robots.txt, sitemap et propriétés Search Console sont contrôlés.</w:t>
      </w:r>
    </w:p>
    <w:p>
      <w:pPr>
        <w:pStyle w:val="ListBullet"/>
        <w:keepLines/>
      </w:pPr>
      <w:r>
        <w:t>Aucune garantie de position ni de délai d'indexation n'est formulée.</w:t>
      </w:r>
    </w:p>
    <w:p>
      <w:pPr>
        <w:keepNext/>
        <w:keepLines/>
      </w:pPr>
      <w:r>
        <w:rPr>
          <w:b/>
          <w:color w:val="6D28D9"/>
          <w:sz w:val="16"/>
        </w:rPr>
        <w:t>SELON LE PROJET · À FAIRE VALIDER</w:t>
      </w:r>
    </w:p>
    <w:p>
      <w:pPr>
        <w:pStyle w:val="Heading1"/>
      </w:pPr>
      <w:r>
        <w:t>11. Données personnelles, traceurs et obligations</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 Conforme RGPD » ne décrit ni les données, ni les rôles, ni les preuves nécessaires.</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Point de vigilance — </w:t>
      </w:r>
      <w:r>
        <w:rPr>
          <w:color w:val="1F2937"/>
        </w:rPr>
        <w:t>Un hébergement dans l'EEE ne suffit pas, à lui seul, à démontrer la conformité. La qualification des rôles, bases légales et obligations doit être validée pour le projet concerné.</w:t>
      </w:r>
    </w:p>
    <w:tbl>
      <w:tblPr>
        <w:tblStyle w:val="TableGrid"/>
        <w:tblW w:type="dxa" w:w="9360"/>
        <w:jc w:val="left"/>
        <w:tblLayout w:type="fixed"/>
        <w:tblLook w:firstColumn="1" w:firstRow="1" w:lastColumn="0" w:lastRow="0" w:noHBand="0" w:noVBand="1" w:val="04A0"/>
        <w:tblInd w:w="120" w:type="dxa"/>
      </w:tblPr>
      <w:tblGrid>
        <w:gridCol w:w="1500"/>
        <w:gridCol w:w="1900"/>
        <w:gridCol w:w="1900"/>
        <w:gridCol w:w="2100"/>
        <w:gridCol w:w="1960"/>
      </w:tblGrid>
      <w:tr>
        <w:trPr>
          <w:cantSplit/>
          <w:tblHeader w:val="true"/>
        </w:trPr>
        <w:tc>
          <w:tcPr>
            <w:tcW w:type="dxa" w:w="15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TRAITEMENT</w:t>
            </w:r>
          </w:p>
        </w:tc>
        <w:tc>
          <w:tcPr>
            <w:tcW w:type="dxa" w:w="19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FINALITÉ</w:t>
            </w:r>
          </w:p>
        </w:tc>
        <w:tc>
          <w:tcPr>
            <w:tcW w:type="dxa" w:w="19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DONNÉES</w:t>
            </w:r>
          </w:p>
        </w:tc>
        <w:tc>
          <w:tcPr>
            <w:tcW w:type="dxa" w:w="21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DESTINATAIRE / OUTIL</w:t>
            </w:r>
          </w:p>
        </w:tc>
        <w:tc>
          <w:tcPr>
            <w:tcW w:type="dxa" w:w="19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VALIDATION</w:t>
            </w:r>
          </w:p>
        </w:tc>
      </w:tr>
      <w:tr>
        <w:trPr>
          <w:cantSplit/>
        </w:trPr>
        <w:tc>
          <w:tcPr>
            <w:tcW w:type="dxa" w:w="15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5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5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5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1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9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pStyle w:val="Heading2"/>
      </w:pPr>
      <w:r>
        <w:t>Ce que le prestataire doit préciser</w:t>
      </w:r>
    </w:p>
    <w:p>
      <w:pPr>
        <w:pStyle w:val="ListBullet"/>
        <w:keepLines/>
      </w:pPr>
      <w:r>
        <w:t>Lister les sous-traitants, lieux de traitement, transferts éventuels et garanties disponibles.</w:t>
      </w:r>
    </w:p>
    <w:p>
      <w:pPr>
        <w:pStyle w:val="ListBullet"/>
        <w:keepLines/>
      </w:pPr>
      <w:r>
        <w:t>Configurer les traceurs selon leurs finalités et recueillir le consentement avant ceux qui ne bénéficient pas d'une exemption.</w:t>
      </w:r>
    </w:p>
    <w:p>
      <w:pPr>
        <w:pStyle w:val="ListBullet"/>
        <w:keepLines/>
      </w:pPr>
      <w:r>
        <w:t>Séparer les responsabilités techniques de la validation des mentions, bases légales, durées et obligations sectorielles.</w:t>
      </w:r>
    </w:p>
    <w:p>
      <w:pPr>
        <w:pStyle w:val="Heading2"/>
      </w:pPr>
      <w:r>
        <w:t>La section est terminée lorsque…</w:t>
      </w:r>
    </w:p>
    <w:p>
      <w:pPr>
        <w:pStyle w:val="ListBullet"/>
        <w:keepLines/>
      </w:pPr>
      <w:r>
        <w:t>Les finalités, données, destinataires, durées et droits sont documentés ou marqués à valider.</w:t>
      </w:r>
    </w:p>
    <w:p>
      <w:pPr>
        <w:pStyle w:val="ListBullet"/>
        <w:keepLines/>
      </w:pPr>
      <w:r>
        <w:t>La présence ou l'absence de bandeau n'est pas décidée par une formule universelle.</w:t>
      </w:r>
    </w:p>
    <w:p>
      <w:pPr>
        <w:pStyle w:val="ListBullet"/>
        <w:keepLines/>
      </w:pPr>
      <w:r>
        <w:t>Les services sensibles, mineurs, paiement, profilage ou traitements massifs déclenchent une revue spécialisée.</w:t>
      </w:r>
    </w:p>
    <w:p>
      <w:pPr>
        <w:keepNext/>
        <w:keepLines/>
      </w:pPr>
      <w:r>
        <w:rPr>
          <w:b/>
          <w:color w:val="047857"/>
          <w:sz w:val="16"/>
        </w:rPr>
        <w:t>ESSENTIEL · SÉCURITÉ</w:t>
      </w:r>
    </w:p>
    <w:p>
      <w:pPr>
        <w:pStyle w:val="Heading1"/>
      </w:pPr>
      <w:r>
        <w:t>12. Sécurité proportionnée aux risques</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La sécurité n'est pas un adjectif ni un état définitif ; elle repose sur des mesures, des responsables et un entretien.</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Accès administratifs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rôles, moindre privilège, MFA]</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Secrets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stockage et transmission]</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Environnements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production, préproduction, test]</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Mises à jour</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responsable et délai]</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Sauvegardes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fréquence, rétention, restauration]</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Journalisation</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événements utiles et accès]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Incident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contact, notification, preuves]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Spam et abus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mesures proportionnées]</w:t>
            </w:r>
          </w:p>
        </w:tc>
      </w:tr>
    </w:tbl>
    <w:p>
      <w:pPr>
        <w:spacing w:after="0"/>
      </w:pPr>
    </w:p>
    <w:p>
      <w:pPr>
        <w:pStyle w:val="Heading2"/>
      </w:pPr>
      <w:r>
        <w:t>Ce que le prestataire doit préciser</w:t>
      </w:r>
    </w:p>
    <w:p>
      <w:pPr>
        <w:pStyle w:val="ListBullet"/>
        <w:keepLines/>
      </w:pPr>
      <w:r>
        <w:t>Présenter les mesures incluses, les limites, la maintenance requise et les responsabilités.</w:t>
      </w:r>
    </w:p>
    <w:p>
      <w:pPr>
        <w:pStyle w:val="ListBullet"/>
        <w:keepLines/>
      </w:pPr>
      <w:r>
        <w:t>Décrire le processus de correction et d'alerte, sans promettre « 100 % sécurisé ».</w:t>
      </w:r>
    </w:p>
    <w:p>
      <w:pPr>
        <w:pStyle w:val="ListBullet"/>
        <w:keepLines/>
      </w:pPr>
      <w:r>
        <w:t>Identifier les éléments exigeant un audit ou un spécialiste externe.</w:t>
      </w:r>
    </w:p>
    <w:p>
      <w:pPr>
        <w:pStyle w:val="Heading2"/>
      </w:pPr>
      <w:r>
        <w:t>La section est terminée lorsque…</w:t>
      </w:r>
    </w:p>
    <w:p>
      <w:pPr>
        <w:pStyle w:val="ListBullet"/>
        <w:keepLines/>
      </w:pPr>
      <w:r>
        <w:t>Les rôles, secrets, sauvegardes, mises à jour et incidents ont un responsable.</w:t>
      </w:r>
    </w:p>
    <w:p>
      <w:pPr>
        <w:pStyle w:val="ListBullet"/>
        <w:keepLines/>
      </w:pPr>
      <w:r>
        <w:t>Un test de restauration et des données fictives de recette sont prévus.</w:t>
      </w:r>
    </w:p>
    <w:p>
      <w:pPr>
        <w:pStyle w:val="ListBullet"/>
        <w:keepLines/>
      </w:pPr>
      <w:r>
        <w:t>Les mesures sont adaptées au risque et non copiées mécaniquement.</w:t>
      </w:r>
    </w:p>
    <w:p>
      <w:pPr>
        <w:keepNext/>
        <w:keepLines/>
      </w:pPr>
      <w:r>
        <w:rPr>
          <w:b/>
          <w:color w:val="6D28D9"/>
          <w:sz w:val="16"/>
        </w:rPr>
        <w:t>PRESTATAIRE RÉPOND</w:t>
      </w:r>
    </w:p>
    <w:p>
      <w:pPr>
        <w:pStyle w:val="Heading1"/>
      </w:pPr>
      <w:r>
        <w:t>13. Réponse technique attendue</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Le client exprime ses contraintes ; le prestataire explique une solution, ses alternatives, ses limites et son coût d'exploitation.</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Contrainte technique imposée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uniquement si réellement nécessaire]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Autonomie attendue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tâches que l'équipe fera seule]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Hébergement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contraintes de localisation, compte, facturation]</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Compatibilité</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navigateurs/appareils représentatifs]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Performance avant lancement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pages, outil, réseau, répétitions]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Performance après lancement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mesure réelle si données suffisantes]</w:t>
            </w:r>
          </w:p>
        </w:tc>
      </w:tr>
    </w:tbl>
    <w:p>
      <w:pPr>
        <w:spacing w:after="0"/>
      </w:pPr>
    </w:p>
    <w:p>
      <w:pPr>
        <w:pStyle w:val="Heading2"/>
      </w:pPr>
      <w:r>
        <w:t>Ce que le prestataire doit préciser</w:t>
      </w:r>
    </w:p>
    <w:p>
      <w:pPr>
        <w:pStyle w:val="ListBullet"/>
        <w:keepLines/>
      </w:pPr>
      <w:r>
        <w:t>Solution recommandée, justification et au moins une alternative examinée.</w:t>
      </w:r>
    </w:p>
    <w:p>
      <w:pPr>
        <w:pStyle w:val="ListBullet"/>
        <w:keepLines/>
      </w:pPr>
      <w:r>
        <w:t>Limites, dépendances, licences, services tiers et coûts récurrents.</w:t>
      </w:r>
    </w:p>
    <w:p>
      <w:pPr>
        <w:pStyle w:val="ListBullet"/>
        <w:keepLines/>
      </w:pPr>
      <w:r>
        <w:t>Architecture d'hébergement, réversibilité, équipe, sous-traitance et hypothèses.</w:t>
      </w:r>
    </w:p>
    <w:p>
      <w:pPr>
        <w:pStyle w:val="ListBullet"/>
        <w:keepLines/>
      </w:pPr>
      <w:r>
        <w:t>Protocole de performance avant lancement et dispositif de suivi réel après lancement.</w:t>
      </w:r>
    </w:p>
    <w:p>
      <w:pPr>
        <w:pStyle w:val="Heading2"/>
      </w:pPr>
      <w:r>
        <w:t>La section est terminée lorsque…</w:t>
      </w:r>
    </w:p>
    <w:p>
      <w:pPr>
        <w:pStyle w:val="ListBullet"/>
        <w:keepLines/>
      </w:pPr>
      <w:r>
        <w:t>La réponse permet de comprendre pourquoi la solution convient au besoin.</w:t>
      </w:r>
    </w:p>
    <w:p>
      <w:pPr>
        <w:pStyle w:val="ListBullet"/>
        <w:keepLines/>
      </w:pPr>
      <w:r>
        <w:t>Les coûts et dépendances à trois ans sont visibles.</w:t>
      </w:r>
    </w:p>
    <w:p>
      <w:pPr>
        <w:pStyle w:val="ListBullet"/>
        <w:keepLines/>
      </w:pPr>
      <w:r>
        <w:t>Les données terrain ne sont pas présentées comme disponibles dès la livraison.</w:t>
      </w:r>
    </w:p>
    <w:p>
      <w:pPr>
        <w:keepNext/>
        <w:keepLines/>
      </w:pPr>
      <w:r>
        <w:rPr>
          <w:b/>
          <w:color w:val="047857"/>
          <w:sz w:val="16"/>
        </w:rPr>
        <w:t>ESSENTIEL · GOUVERNANCE</w:t>
      </w:r>
    </w:p>
    <w:p>
      <w:pPr>
        <w:pStyle w:val="Heading1"/>
      </w:pPr>
      <w:r>
        <w:t>14. Livrables, responsabilités et calendrier</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 planning n'est crédible que si chaque livrable, validation, dépendance et retard possible a un responsable.</w:t>
      </w:r>
    </w:p>
    <w:tbl>
      <w:tblPr>
        <w:tblStyle w:val="TableGrid"/>
        <w:tblW w:type="dxa" w:w="9360"/>
        <w:jc w:val="left"/>
        <w:tblLayout w:type="fixed"/>
        <w:tblLook w:firstColumn="1" w:firstRow="1" w:lastColumn="0" w:lastRow="0" w:noHBand="0" w:noVBand="1" w:val="04A0"/>
        <w:tblInd w:w="120" w:type="dxa"/>
      </w:tblPr>
      <w:tblGrid>
        <w:gridCol w:w="1300"/>
        <w:gridCol w:w="2500"/>
        <w:gridCol w:w="1700"/>
        <w:gridCol w:w="1600"/>
        <w:gridCol w:w="2260"/>
      </w:tblGrid>
      <w:tr>
        <w:trPr>
          <w:cantSplit/>
          <w:tblHeader w:val="true"/>
        </w:trPr>
        <w:tc>
          <w:tcPr>
            <w:tcW w:type="dxa" w:w="13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PHASE</w:t>
            </w:r>
          </w:p>
        </w:tc>
        <w:tc>
          <w:tcPr>
            <w:tcW w:type="dxa" w:w="25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LIVRABLE</w:t>
            </w:r>
          </w:p>
        </w:tc>
        <w:tc>
          <w:tcPr>
            <w:tcW w:type="dxa" w:w="17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RESPONSABLE</w:t>
            </w:r>
          </w:p>
        </w:tc>
        <w:tc>
          <w:tcPr>
            <w:tcW w:type="dxa" w:w="16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VALIDATEUR</w:t>
            </w:r>
          </w:p>
        </w:tc>
        <w:tc>
          <w:tcPr>
            <w:tcW w:type="dxa" w:w="22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DÉLAI / CYCLES</w:t>
            </w:r>
          </w:p>
        </w:tc>
      </w:tr>
      <w:tr>
        <w:trPr>
          <w:cantSplit/>
        </w:trPr>
        <w:tc>
          <w:tcPr>
            <w:tcW w:type="dxa" w:w="13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3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3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3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3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3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7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1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2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pStyle w:val="Heading2"/>
      </w:pPr>
      <w:r>
        <w:t>Ce que le prestataire doit préciser</w:t>
      </w:r>
    </w:p>
    <w:p>
      <w:pPr>
        <w:pStyle w:val="ListBullet"/>
        <w:keepLines/>
      </w:pPr>
      <w:r>
        <w:t>Présenter un calendrier par jalons, avec dépendances et délais de validation client.</w:t>
      </w:r>
    </w:p>
    <w:p>
      <w:pPr>
        <w:pStyle w:val="ListBullet"/>
        <w:keepLines/>
      </w:pPr>
      <w:r>
        <w:t>Distinguer les livrables inclus, les fichiers sources, la formation et la documentation.</w:t>
      </w:r>
    </w:p>
    <w:p>
      <w:pPr>
        <w:pStyle w:val="ListBullet"/>
        <w:keepLines/>
      </w:pPr>
      <w:r>
        <w:t>Décrire le processus de demande de changement et son impact avant exécution.</w:t>
      </w:r>
    </w:p>
    <w:p>
      <w:pPr>
        <w:pStyle w:val="Heading2"/>
      </w:pPr>
      <w:r>
        <w:t>La section est terminée lorsque…</w:t>
      </w:r>
    </w:p>
    <w:p>
      <w:pPr>
        <w:pStyle w:val="ListBullet"/>
        <w:keepLines/>
      </w:pPr>
      <w:r>
        <w:t>Chaque livrable a un responsable, une date et un décideur.</w:t>
      </w:r>
    </w:p>
    <w:p>
      <w:pPr>
        <w:pStyle w:val="ListBullet"/>
        <w:keepLines/>
      </w:pPr>
      <w:r>
        <w:t>Le nombre de cycles de retours et les délais de validation sont explicites.</w:t>
      </w:r>
    </w:p>
    <w:p>
      <w:pPr>
        <w:pStyle w:val="ListBullet"/>
        <w:keepLines/>
      </w:pPr>
      <w:r>
        <w:t>Les conséquences d'un retard ou d'une demande nouvelle sont traitées sans ambiguïté.</w:t>
      </w:r>
    </w:p>
    <w:p>
      <w:pPr>
        <w:keepNext/>
        <w:keepLines/>
      </w:pPr>
      <w:r>
        <w:rPr>
          <w:b/>
          <w:color w:val="047857"/>
          <w:sz w:val="16"/>
        </w:rPr>
        <w:t>ESSENTIEL · PREUVE</w:t>
      </w:r>
    </w:p>
    <w:p>
      <w:pPr>
        <w:pStyle w:val="Heading1"/>
      </w:pPr>
      <w:r>
        <w:t>15. Recette, anomalies, garantie et acceptation</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Préparer la recette avant le développement transforme les attentes vagues en scénarios observables.</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Point de vigilance — </w:t>
      </w:r>
      <w:r>
        <w:rPr>
          <w:color w:val="1F2937"/>
        </w:rPr>
        <w:t>Utilisez le fichier « grille-de-recette-site-internet.xlsx » du kit pour exécuter et tracer les tests.</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Environnement de recette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URL, accès, données]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Durée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fenêtre et disponibilité]</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Bloquant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définition projet]</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Majeur</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définition projet]</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Mineur</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définition projet]</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Acceptation</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procédure et réserves]</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Garantie corrective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durée, point de départ, exclusions]</w:t>
            </w:r>
          </w:p>
        </w:tc>
      </w:tr>
    </w:tbl>
    <w:p>
      <w:pPr>
        <w:spacing w:after="0"/>
      </w:pPr>
    </w:p>
    <w:p>
      <w:pPr>
        <w:pStyle w:val="Heading2"/>
      </w:pPr>
      <w:r>
        <w:t>Ce que le prestataire doit préciser</w:t>
      </w:r>
    </w:p>
    <w:p>
      <w:pPr>
        <w:pStyle w:val="ListBullet"/>
        <w:keepLines/>
      </w:pPr>
      <w:r>
        <w:t>Fournir le rapport de tests et les preuves convenues.</w:t>
      </w:r>
    </w:p>
    <w:p>
      <w:pPr>
        <w:pStyle w:val="ListBullet"/>
        <w:keepLines/>
      </w:pPr>
      <w:r>
        <w:t>Corriger puis soumettre au nouveau test selon le niveau d'anomalie et le contrat.</w:t>
      </w:r>
    </w:p>
    <w:p>
      <w:pPr>
        <w:pStyle w:val="ListBullet"/>
        <w:keepLines/>
      </w:pPr>
      <w:r>
        <w:t>Ne promettre ni « zéro bug » ni conformité globale sans protocole défini.</w:t>
      </w:r>
    </w:p>
    <w:p>
      <w:pPr>
        <w:pStyle w:val="Heading2"/>
      </w:pPr>
      <w:r>
        <w:t>La section est terminée lorsque…</w:t>
      </w:r>
    </w:p>
    <w:p>
      <w:pPr>
        <w:pStyle w:val="ListBullet"/>
        <w:keepLines/>
      </w:pPr>
      <w:r>
        <w:t>Chaque critère a une précondition, une action, un résultat attendu, un environnement et une preuve.</w:t>
      </w:r>
    </w:p>
    <w:p>
      <w:pPr>
        <w:pStyle w:val="ListBullet"/>
        <w:keepLines/>
      </w:pPr>
      <w:r>
        <w:t>Les niveaux d'anomalie et la procédure de réserve sont compris par les deux parties.</w:t>
      </w:r>
    </w:p>
    <w:p>
      <w:pPr>
        <w:pStyle w:val="ListBullet"/>
        <w:keepLines/>
      </w:pPr>
      <w:r>
        <w:t>Garantie corrective, maintenance et évolution sont séparées.</w:t>
      </w:r>
    </w:p>
    <w:p>
      <w:pPr>
        <w:keepNext/>
        <w:keepLines/>
      </w:pPr>
      <w:r>
        <w:rPr>
          <w:b/>
          <w:color w:val="047857"/>
          <w:sz w:val="16"/>
        </w:rPr>
        <w:t>ESSENTIEL · APRÈS LA MISE EN LIGNE</w:t>
      </w:r>
    </w:p>
    <w:p>
      <w:pPr>
        <w:pStyle w:val="Heading1"/>
      </w:pPr>
      <w:r>
        <w:t>16. Exploitation, comptes, droits et réversibilité</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 site reste exploitable si l'entreprise contrôle ses comptes, connaît ses licences et peut récupérer ses contenus, données et documentation.</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Point de vigilance — </w:t>
      </w:r>
      <w:r>
        <w:rPr>
          <w:color w:val="1F2937"/>
        </w:rPr>
        <w:t>Les droits ne se résument pas à « tout vous appartient ». En droit français, une cession doit notamment délimiter les droits transmis et leur domaine d'exploitation ; faites adapter le contrat.</w:t>
      </w:r>
    </w:p>
    <w:tbl>
      <w:tblPr>
        <w:tblStyle w:val="TableGrid"/>
        <w:tblW w:type="dxa" w:w="9360"/>
        <w:jc w:val="left"/>
        <w:tblLayout w:type="fixed"/>
        <w:tblLook w:firstColumn="1" w:firstRow="1" w:lastColumn="0" w:lastRow="0" w:noHBand="0" w:noVBand="1" w:val="04A0"/>
        <w:tblInd w:w="120" w:type="dxa"/>
      </w:tblPr>
      <w:tblGrid>
        <w:gridCol w:w="1800"/>
        <w:gridCol w:w="2500"/>
        <w:gridCol w:w="2600"/>
        <w:gridCol w:w="2460"/>
      </w:tblGrid>
      <w:tr>
        <w:trPr>
          <w:cantSplit/>
          <w:tblHeader w:val="true"/>
        </w:trPr>
        <w:tc>
          <w:tcPr>
            <w:tcW w:type="dxa" w:w="18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ACTIF</w:t>
            </w:r>
          </w:p>
        </w:tc>
        <w:tc>
          <w:tcPr>
            <w:tcW w:type="dxa" w:w="25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TITULAIRE / DROITS</w:t>
            </w:r>
          </w:p>
        </w:tc>
        <w:tc>
          <w:tcPr>
            <w:tcW w:type="dxa" w:w="260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ACCÈS ATTENDU</w:t>
            </w:r>
          </w:p>
        </w:tc>
        <w:tc>
          <w:tcPr>
            <w:tcW w:type="dxa" w:w="2460"/>
            <w:shd w:fill="1E4F7A"/>
            <w:tcMar>
              <w:top w:w="100" w:type="dxa"/>
              <w:start w:w="120" w:type="dxa"/>
              <w:bottom w:w="100" w:type="dxa"/>
              <w:end w:w="120" w:type="dxa"/>
            </w:tcMar>
            <w:vAlign w:val="center"/>
          </w:tcPr>
          <w:p>
            <w:pPr>
              <w:spacing w:after="0" w:line="264" w:lineRule="auto"/>
            </w:pPr>
            <w:r/>
            <w:r>
              <w:rPr>
                <w:rFonts w:ascii="Calibri" w:hAnsi="Calibri"/>
                <w:b/>
                <w:color w:val="FFFFFF"/>
                <w:sz w:val="16"/>
              </w:rPr>
              <w:t>SORTIE</w:t>
            </w:r>
          </w:p>
        </w:tc>
      </w:tr>
      <w:tr>
        <w:trPr>
          <w:cantSplit/>
        </w:trPr>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r>
        <w:trPr>
          <w:cantSplit/>
        </w:trPr>
        <w:tc>
          <w:tcPr>
            <w:tcW w:type="dxa" w:w="1800"/>
            <w:tcMar>
              <w:top w:w="100" w:type="dxa"/>
              <w:start w:w="120" w:type="dxa"/>
              <w:bottom w:w="100" w:type="dxa"/>
              <w:end w:w="120" w:type="dxa"/>
            </w:tcMar>
            <w:vAlign w:val="center"/>
          </w:tcPr>
          <w:p>
            <w:pPr>
              <w:spacing w:after="0" w:line="264" w:lineRule="auto"/>
            </w:pPr>
            <w:r/>
            <w:r>
              <w:rPr>
                <w:rFonts w:ascii="Calibri" w:hAnsi="Calibri"/>
                <w:b w:val="0"/>
                <w:color w:val="5B6472"/>
                <w:sz w:val="16"/>
              </w:rPr>
              <w:t>[À compléter]</w:t>
            </w:r>
          </w:p>
        </w:tc>
        <w:tc>
          <w:tcPr>
            <w:tcW w:type="dxa" w:w="25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60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c>
          <w:tcPr>
            <w:tcW w:type="dxa" w:w="2460"/>
            <w:tcMar>
              <w:top w:w="100" w:type="dxa"/>
              <w:start w:w="120" w:type="dxa"/>
              <w:bottom w:w="100" w:type="dxa"/>
              <w:end w:w="120" w:type="dxa"/>
            </w:tcMar>
            <w:vAlign w:val="center"/>
          </w:tcPr>
          <w:p>
            <w:pPr>
              <w:spacing w:after="0" w:line="264" w:lineRule="auto"/>
            </w:pPr>
            <w:r/>
            <w:r>
              <w:rPr>
                <w:rFonts w:ascii="Calibri" w:hAnsi="Calibri"/>
                <w:b w:val="0"/>
                <w:color w:val="5B6472"/>
                <w:sz w:val="16"/>
              </w:rPr>
            </w:r>
          </w:p>
        </w:tc>
      </w:tr>
    </w:tbl>
    <w:p>
      <w:pPr>
        <w:spacing w:after="0"/>
      </w:pPr>
    </w:p>
    <w:p>
      <w:pPr>
        <w:pStyle w:val="Heading2"/>
      </w:pPr>
      <w:r>
        <w:t>Ce que le prestataire doit préciser</w:t>
      </w:r>
    </w:p>
    <w:p>
      <w:pPr>
        <w:pStyle w:val="ListBullet"/>
        <w:keepLines/>
      </w:pPr>
      <w:r>
        <w:t>Distinguer code spécifique, composants open source, thèmes, extensions, polices, photos, contenus et services tiers.</w:t>
      </w:r>
    </w:p>
    <w:p>
      <w:pPr>
        <w:pStyle w:val="ListBullet"/>
        <w:keepLines/>
      </w:pPr>
      <w:r>
        <w:t>Proposer une cession ou licence adaptée pour les créations concernées, à formaliser au contrat.</w:t>
      </w:r>
    </w:p>
    <w:p>
      <w:pPr>
        <w:pStyle w:val="ListBullet"/>
        <w:keepLines/>
      </w:pPr>
      <w:r>
        <w:t>Décrire export, documentation, remise des accès, coût et délai de sortie.</w:t>
      </w:r>
    </w:p>
    <w:p>
      <w:pPr>
        <w:pStyle w:val="Heading2"/>
      </w:pPr>
      <w:r>
        <w:t>La section est terminée lorsque…</w:t>
      </w:r>
    </w:p>
    <w:p>
      <w:pPr>
        <w:pStyle w:val="ListBullet"/>
        <w:keepLines/>
      </w:pPr>
      <w:r>
        <w:t>Le titulaire du domaine, le compte d'hébergement, le dépôt et les administrateurs sont identifiés.</w:t>
      </w:r>
    </w:p>
    <w:p>
      <w:pPr>
        <w:pStyle w:val="ListBullet"/>
        <w:keepLines/>
      </w:pPr>
      <w:r>
        <w:t>Les droits transmis, leur périmètre et les licences tierces sont distingués.</w:t>
      </w:r>
    </w:p>
    <w:p>
      <w:pPr>
        <w:pStyle w:val="ListBullet"/>
        <w:keepLines/>
      </w:pPr>
      <w:r>
        <w:t>La procédure de sortie est réalisable sans dépendre d'un mot de passe partagé.</w:t>
      </w:r>
    </w:p>
    <w:p>
      <w:pPr>
        <w:keepNext/>
        <w:keepLines/>
      </w:pPr>
      <w:r>
        <w:rPr>
          <w:b/>
          <w:color w:val="047857"/>
          <w:sz w:val="16"/>
        </w:rPr>
        <w:t>ESSENTIEL · OFFRES COMPARABLES</w:t>
      </w:r>
    </w:p>
    <w:p>
      <w:pPr>
        <w:pStyle w:val="Heading1"/>
      </w:pPr>
      <w:r>
        <w:t>17. Budget et format de l'offre</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La comparaison devient utile lorsque les candidats répondent avec le même découpage, les mêmes hypothèses et un coût d'exploitation visible.</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Enveloppe de construction</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HT/TTC et périmètre]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Réserve interne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séparée du budget annoncé]</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Coûts récurrents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plafond ou attente]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Calendrier de paiement</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souhait ou contrainte]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Validité de l'offre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durée attendue]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Coût total</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horizon utile]</w:t>
            </w:r>
          </w:p>
        </w:tc>
      </w:tr>
    </w:tbl>
    <w:p>
      <w:pPr>
        <w:spacing w:after="0"/>
      </w:pPr>
    </w:p>
    <w:p>
      <w:pPr>
        <w:pStyle w:val="Heading2"/>
      </w:pPr>
      <w:r>
        <w:t>Ce que le prestataire doit préciser</w:t>
      </w:r>
    </w:p>
    <w:p>
      <w:pPr>
        <w:pStyle w:val="ListBullet"/>
        <w:keepLines/>
      </w:pPr>
      <w:r>
        <w:t>Ventiler cadrage, design, développement, contenus, migration, intégrations, recette, formation et mise en ligne.</w:t>
      </w:r>
    </w:p>
    <w:p>
      <w:pPr>
        <w:pStyle w:val="ListBullet"/>
        <w:keepLines/>
      </w:pPr>
      <w:r>
        <w:t>Détailler hébergement, licences, maintenance, options, coûts de sortie, hypothèses et exclusions.</w:t>
      </w:r>
    </w:p>
    <w:p>
      <w:pPr>
        <w:pStyle w:val="ListBullet"/>
        <w:keepLines/>
      </w:pPr>
      <w:r>
        <w:t>Marquer chaque exigence : incluse, partielle, optionnelle, alternative ou exclue.</w:t>
      </w:r>
    </w:p>
    <w:p>
      <w:pPr>
        <w:pStyle w:val="Heading2"/>
      </w:pPr>
      <w:r>
        <w:t>La section est terminée lorsque…</w:t>
      </w:r>
    </w:p>
    <w:p>
      <w:pPr>
        <w:pStyle w:val="ListBullet"/>
        <w:keepLines/>
      </w:pPr>
      <w:r>
        <w:t>Deux offres peuvent être rapprochées ligne par ligne.</w:t>
      </w:r>
    </w:p>
    <w:p>
      <w:pPr>
        <w:pStyle w:val="ListBullet"/>
        <w:keepLines/>
      </w:pPr>
      <w:r>
        <w:t>Le coût initial ne masque pas les dépenses récurrentes ou de sortie.</w:t>
      </w:r>
    </w:p>
    <w:p>
      <w:pPr>
        <w:pStyle w:val="ListBullet"/>
        <w:keepLines/>
      </w:pPr>
      <w:r>
        <w:t>Une option n'est pas présentée comme incluse dans le prix de base.</w:t>
      </w:r>
    </w:p>
    <w:p>
      <w:pPr>
        <w:keepNext/>
        <w:keepLines/>
      </w:pPr>
      <w:r>
        <w:rPr>
          <w:b/>
          <w:color w:val="047857"/>
          <w:sz w:val="16"/>
        </w:rPr>
        <w:t>ESSENTIEL · TRAÇABILITÉ</w:t>
      </w:r>
    </w:p>
    <w:p>
      <w:pPr>
        <w:pStyle w:val="Heading1"/>
      </w:pPr>
      <w:r>
        <w:t>18. Questions, décisions et annexes</w:t>
      </w:r>
    </w:p>
    <w:p>
      <w:pPr>
        <w:spacing w:before="100" w:after="140" w:line="283" w:lineRule="auto"/>
        <w:ind w:left="115" w:right="115"/>
        <w:shd w:fill="E8EEF5"/>
        <w:pBdr>
          <w:top w:val="single" w:sz="6" w:space="4" w:color="1E4F7A"/>
          <w:left w:val="single" w:sz="6" w:space="4" w:color="1E4F7A"/>
          <w:bottom w:val="single" w:sz="6" w:space="4" w:color="1E4F7A"/>
          <w:right w:val="single" w:sz="6" w:space="4" w:color="1E4F7A"/>
        </w:pBdr>
        <w:keepLines/>
      </w:pPr>
      <w:r>
        <w:rPr>
          <w:b/>
          <w:color w:val="1E4F7A"/>
        </w:rPr>
        <w:t xml:space="preserve">Pourquoi cette section compte — </w:t>
      </w:r>
      <w:r>
        <w:rPr>
          <w:color w:val="1F2937"/>
        </w:rPr>
        <w:t>Un registre commun réduit les réponses contradictoires et préserve l'équité entre candidats.</w:t>
      </w:r>
    </w:p>
    <w:tbl>
      <w:tblPr>
        <w:tblStyle w:val="TableGrid"/>
        <w:tblW w:type="dxa" w:w="9360"/>
        <w:jc w:val="left"/>
        <w:tblLayout w:type="fixed"/>
        <w:tblLook w:firstColumn="1" w:firstRow="1" w:lastColumn="0" w:lastRow="0" w:noHBand="0" w:noVBand="1" w:val="04A0"/>
        <w:tblInd w:w="120" w:type="dxa"/>
      </w:tblPr>
      <w:tblGrid>
        <w:gridCol w:w="2850"/>
        <w:gridCol w:w="6510"/>
      </w:tblGrid>
      <w:tr>
        <w:trPr>
          <w:cantSplit/>
          <w:tblHeader w:val="true"/>
        </w:trPr>
        <w:tc>
          <w:tcPr>
            <w:tcW w:type="dxa" w:w="285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QUESTION / DÉCISION</w:t>
            </w:r>
          </w:p>
        </w:tc>
        <w:tc>
          <w:tcPr>
            <w:tcW w:type="dxa" w:w="6510"/>
            <w:shd w:fill="1E4F7A"/>
            <w:tcMar>
              <w:top w:w="100" w:type="dxa"/>
              <w:start w:w="120" w:type="dxa"/>
              <w:bottom w:w="100" w:type="dxa"/>
              <w:end w:w="120" w:type="dxa"/>
            </w:tcMar>
            <w:vAlign w:val="center"/>
          </w:tcPr>
          <w:p>
            <w:pPr>
              <w:spacing w:after="0" w:line="264" w:lineRule="auto"/>
            </w:pPr>
            <w:r/>
            <w:r>
              <w:rPr>
                <w:rFonts w:ascii="Calibri" w:hAnsi="Calibri"/>
                <w:b/>
                <w:color w:val="FFFFFF"/>
                <w:sz w:val="18"/>
              </w:rPr>
              <w:t>VOTRE RÉPONSE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Canal de questions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adresse ou outil dédié]</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Date limite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dernière date de question]</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Mode de réponse</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à tous ou individuel]</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Décisions ouvertes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arbitrages restant à prendre]</w:t>
            </w:r>
          </w:p>
        </w:tc>
      </w:tr>
      <w:tr>
        <w:trPr>
          <w:cantSplit/>
        </w:trPr>
        <w:tc>
          <w:tcPr>
            <w:tcW w:type="dxa" w:w="2850"/>
            <w:shd w:fill="F6F8FB"/>
            <w:tcMar>
              <w:top w:w="100" w:type="dxa"/>
              <w:start w:w="120" w:type="dxa"/>
              <w:bottom w:w="100" w:type="dxa"/>
              <w:end w:w="120" w:type="dxa"/>
            </w:tcMar>
            <w:vAlign w:val="center"/>
          </w:tcPr>
          <w:p>
            <w:pPr>
              <w:spacing w:after="0" w:line="264" w:lineRule="auto"/>
            </w:pPr>
            <w:r/>
            <w:r>
              <w:rPr>
                <w:rFonts w:ascii="Calibri" w:hAnsi="Calibri"/>
                <w:b/>
                <w:color w:val="1E4F7A"/>
                <w:sz w:val="18"/>
              </w:rPr>
              <w:t>Annexes fournies</w:t>
            </w:r>
          </w:p>
        </w:tc>
        <w:tc>
          <w:tcPr>
            <w:tcW w:type="dxa" w:w="6510"/>
            <w:tcMar>
              <w:top w:w="100" w:type="dxa"/>
              <w:start w:w="120" w:type="dxa"/>
              <w:bottom w:w="100" w:type="dxa"/>
              <w:end w:w="120" w:type="dxa"/>
            </w:tcMar>
            <w:vAlign w:val="center"/>
          </w:tcPr>
          <w:p>
            <w:pPr>
              <w:spacing w:after="0" w:line="264" w:lineRule="auto"/>
            </w:pPr>
            <w:r/>
            <w:r>
              <w:rPr>
                <w:rFonts w:ascii="Calibri" w:hAnsi="Calibri"/>
                <w:b w:val="0"/>
                <w:color w:val="5B6472"/>
                <w:sz w:val="18"/>
              </w:rPr>
              <w:t>[À compléter — liste sans secrets]</w:t>
            </w:r>
          </w:p>
        </w:tc>
      </w:tr>
    </w:tbl>
    <w:p>
      <w:pPr>
        <w:spacing w:after="0"/>
      </w:pPr>
    </w:p>
    <w:p>
      <w:pPr>
        <w:pStyle w:val="Heading2"/>
      </w:pPr>
      <w:r>
        <w:t>Ce que le prestataire doit préciser</w:t>
      </w:r>
    </w:p>
    <w:p>
      <w:pPr>
        <w:pStyle w:val="ListBullet"/>
        <w:keepLines/>
      </w:pPr>
      <w:r>
        <w:t>Lister les questions bloquantes et les hypothèses prises faute de réponse.</w:t>
      </w:r>
    </w:p>
    <w:p>
      <w:pPr>
        <w:pStyle w:val="ListBullet"/>
        <w:keepLines/>
      </w:pPr>
      <w:r>
        <w:t>Accuser réception de chaque addendum et l'intégrer à l'offre.</w:t>
      </w:r>
    </w:p>
    <w:p>
      <w:pPr>
        <w:pStyle w:val="ListBullet"/>
        <w:keepLines/>
      </w:pPr>
      <w:r>
        <w:t>Ne pas demander de données ou accès sensibles dans le dossier de consultation.</w:t>
      </w:r>
    </w:p>
    <w:p>
      <w:pPr>
        <w:pStyle w:val="Heading2"/>
      </w:pPr>
      <w:r>
        <w:t>La section est terminée lorsque…</w:t>
      </w:r>
    </w:p>
    <w:p>
      <w:pPr>
        <w:pStyle w:val="ListBullet"/>
        <w:keepLines/>
      </w:pPr>
      <w:r>
        <w:t>Toutes les décisions ouvertes ont un propriétaire et une date cible.</w:t>
      </w:r>
    </w:p>
    <w:p>
      <w:pPr>
        <w:pStyle w:val="ListBullet"/>
        <w:keepLines/>
      </w:pPr>
      <w:r>
        <w:t>Chaque candidat dispose des mêmes informations de référence.</w:t>
      </w:r>
    </w:p>
    <w:p>
      <w:pPr>
        <w:pStyle w:val="ListBullet"/>
        <w:keepLines/>
      </w:pPr>
      <w:r>
        <w:t>Les annexes sont nommées, datées et expurgées.</w:t>
      </w:r>
    </w:p>
    <w:p>
      <w:r>
        <w:br w:type="page"/>
      </w:r>
    </w:p>
    <w:p>
      <w:pPr>
        <w:pStyle w:val="Heading1"/>
      </w:pPr>
      <w:r>
        <w:t>Sources, limites et licence d'utilisation</w:t>
      </w:r>
    </w:p>
    <w:p>
      <w:pPr>
        <w:spacing w:before="100" w:after="140" w:line="283" w:lineRule="auto"/>
        <w:ind w:left="115" w:right="115"/>
        <w:shd w:fill="FFF7E6"/>
        <w:pBdr>
          <w:top w:val="single" w:sz="6" w:space="4" w:color="9A6700"/>
          <w:left w:val="single" w:sz="6" w:space="4" w:color="9A6700"/>
          <w:bottom w:val="single" w:sz="6" w:space="4" w:color="9A6700"/>
          <w:right w:val="single" w:sz="6" w:space="4" w:color="9A6700"/>
        </w:pBdr>
        <w:keepLines/>
      </w:pPr>
      <w:r>
        <w:rPr>
          <w:b/>
          <w:color w:val="9A6700"/>
        </w:rPr>
        <w:t xml:space="preserve">Important — </w:t>
      </w:r>
      <w:r>
        <w:rPr>
          <w:color w:val="1F2937"/>
        </w:rPr>
        <w:t>Ce kit aide à structurer une consultation. Il ne remplace pas le devis, le contrat, un audit de conformité, une analyse de sécurité ni un conseil juridique personnalisé.</w:t>
      </w:r>
    </w:p>
    <w:p>
      <w:pPr>
        <w:pStyle w:val="Heading2"/>
      </w:pPr>
      <w:r>
        <w:t>Références officielles consultées le 19 juillet 2026</w:t>
      </w:r>
    </w:p>
    <w:p>
      <w:pPr>
        <w:pStyle w:val="ListBullet"/>
        <w:spacing w:after="40" w:line="252" w:lineRule="auto"/>
        <w:keepLines/>
      </w:pPr>
      <w:hyperlink r:id="rId13" w:history="1">
        <w:r>
          <w:rPr>
            <w:color w:val="2E74B5"/>
            <w:u w:val="single"/>
          </w:rPr>
          <w:t>France Num — bâtir le cahier des charges d'un site</w:t>
        </w:r>
      </w:hyperlink>
    </w:p>
    <w:p>
      <w:pPr>
        <w:pStyle w:val="ListBullet"/>
        <w:spacing w:after="40" w:line="252" w:lineRule="auto"/>
        <w:keepLines/>
      </w:pPr>
      <w:hyperlink r:id="rId14" w:history="1">
        <w:r>
          <w:rPr>
            <w:color w:val="2E74B5"/>
            <w:u w:val="single"/>
          </w:rPr>
          <w:t>CNIL — cookies et autres traceurs</w:t>
        </w:r>
      </w:hyperlink>
    </w:p>
    <w:p>
      <w:pPr>
        <w:pStyle w:val="ListBullet"/>
        <w:spacing w:after="40" w:line="252" w:lineRule="auto"/>
        <w:keepLines/>
      </w:pPr>
      <w:hyperlink r:id="rId15" w:history="1">
        <w:r>
          <w:rPr>
            <w:color w:val="2E74B5"/>
            <w:u w:val="single"/>
          </w:rPr>
          <w:t>CNIL — qualification juridique de la sous-traitance</w:t>
        </w:r>
      </w:hyperlink>
    </w:p>
    <w:p>
      <w:pPr>
        <w:pStyle w:val="ListBullet"/>
        <w:spacing w:after="40" w:line="252" w:lineRule="auto"/>
        <w:keepLines/>
      </w:pPr>
      <w:hyperlink r:id="rId16" w:history="1">
        <w:r>
          <w:rPr>
            <w:color w:val="2E74B5"/>
            <w:u w:val="single"/>
          </w:rPr>
          <w:t>RGAA — champ d'application</w:t>
        </w:r>
      </w:hyperlink>
    </w:p>
    <w:p>
      <w:pPr>
        <w:pStyle w:val="ListBullet"/>
        <w:spacing w:after="40" w:line="252" w:lineRule="auto"/>
        <w:keepLines/>
      </w:pPr>
      <w:hyperlink r:id="rId17" w:history="1">
        <w:r>
          <w:rPr>
            <w:color w:val="2E74B5"/>
            <w:u w:val="single"/>
          </w:rPr>
          <w:t>DGCCRF — directive européenne sur l'accessibilité</w:t>
        </w:r>
      </w:hyperlink>
    </w:p>
    <w:p>
      <w:pPr>
        <w:pStyle w:val="ListBullet"/>
        <w:spacing w:after="40" w:line="252" w:lineRule="auto"/>
        <w:keepLines/>
      </w:pPr>
      <w:hyperlink r:id="rId18" w:history="1">
        <w:r>
          <w:rPr>
            <w:color w:val="2E74B5"/>
            <w:u w:val="single"/>
          </w:rPr>
          <w:t>Google Search Central — Core Web Vitals</w:t>
        </w:r>
      </w:hyperlink>
    </w:p>
    <w:p>
      <w:pPr>
        <w:pStyle w:val="ListBullet"/>
        <w:spacing w:after="40" w:line="252" w:lineRule="auto"/>
        <w:keepLines/>
      </w:pPr>
      <w:hyperlink r:id="rId19" w:history="1">
        <w:r>
          <w:rPr>
            <w:color w:val="2E74B5"/>
            <w:u w:val="single"/>
          </w:rPr>
          <w:t>web.dev — évaluation au 75e percentile</w:t>
        </w:r>
      </w:hyperlink>
    </w:p>
    <w:p>
      <w:pPr>
        <w:pStyle w:val="ListBullet"/>
        <w:spacing w:after="40" w:line="252" w:lineRule="auto"/>
        <w:keepLines/>
      </w:pPr>
      <w:hyperlink r:id="rId20" w:history="1">
        <w:r>
          <w:rPr>
            <w:color w:val="2E74B5"/>
            <w:u w:val="single"/>
          </w:rPr>
          <w:t>Google Search Central — redirections 301/308</w:t>
        </w:r>
      </w:hyperlink>
    </w:p>
    <w:p>
      <w:pPr>
        <w:pStyle w:val="ListBullet"/>
        <w:spacing w:after="40" w:line="252" w:lineRule="auto"/>
        <w:keepLines/>
      </w:pPr>
      <w:hyperlink r:id="rId21" w:history="1">
        <w:r>
          <w:rPr>
            <w:color w:val="2E74B5"/>
            <w:u w:val="single"/>
          </w:rPr>
          <w:t>Google Search Central — déplacement de site et durée des redirections</w:t>
        </w:r>
      </w:hyperlink>
    </w:p>
    <w:p>
      <w:pPr>
        <w:pStyle w:val="ListBullet"/>
        <w:spacing w:after="40" w:line="252" w:lineRule="auto"/>
        <w:keepLines/>
      </w:pPr>
      <w:hyperlink r:id="rId22" w:history="1">
        <w:r>
          <w:rPr>
            <w:color w:val="2E74B5"/>
            <w:u w:val="single"/>
          </w:rPr>
          <w:t>Légifrance — Code de la propriété intellectuelle, article L131-3</w:t>
        </w:r>
      </w:hyperlink>
    </w:p>
    <w:p>
      <w:pPr>
        <w:pStyle w:val="ListBullet"/>
        <w:spacing w:after="40" w:line="252" w:lineRule="auto"/>
        <w:keepLines/>
      </w:pPr>
      <w:hyperlink r:id="rId23" w:history="1">
        <w:r>
          <w:rPr>
            <w:color w:val="2E74B5"/>
            <w:u w:val="single"/>
          </w:rPr>
          <w:t>Afnic — guide du titulaire d'un nom de domaine</w:t>
        </w:r>
      </w:hyperlink>
    </w:p>
    <w:p>
      <w:pPr>
        <w:pStyle w:val="ListBullet"/>
        <w:spacing w:after="40" w:line="252" w:lineRule="auto"/>
        <w:keepLines/>
      </w:pPr>
      <w:hyperlink r:id="rId24" w:history="1">
        <w:r>
          <w:rPr>
            <w:color w:val="2E74B5"/>
            <w:u w:val="single"/>
          </w:rPr>
          <w:t>MesServicesCyber — authentification multifacteur et mots de passe</w:t>
        </w:r>
      </w:hyperlink>
    </w:p>
    <w:p>
      <w:pPr>
        <w:pStyle w:val="ListBullet"/>
        <w:spacing w:after="40" w:line="252" w:lineRule="auto"/>
        <w:keepLines/>
      </w:pPr>
      <w:hyperlink r:id="rId25" w:history="1">
        <w:r>
          <w:rPr>
            <w:color w:val="2E74B5"/>
            <w:u w:val="single"/>
          </w:rPr>
          <w:t>Cybermalveillance.gouv.fr — bonnes pratiques de sauvegarde</w:t>
        </w:r>
      </w:hyperlink>
    </w:p>
    <w:p>
      <w:pPr>
        <w:pStyle w:val="Heading2"/>
      </w:pPr>
      <w:r>
        <w:t>Licence d'utilisation du kit</w:t>
      </w:r>
    </w:p>
    <w:p>
      <w:pPr>
        <w:keepLines/>
      </w:pPr>
      <w:r>
        <w:t>Vous pouvez utiliser et modifier ce document pour cadrer vos propres projets, le partager en interne et avec les prestataires consultés. La revente ou republication du kit, complet ou substantiellement identique, comme ressource autonome est interdite sans accord écrit de Hagnéré Code. Vos réponses, ajouts et données restent sous votre responsabilité.</w:t>
      </w:r>
    </w:p>
    <w:p>
      <w:pPr>
        <w:keepLines/>
      </w:pPr>
      <w:r>
        <w:t>Version 1.0 — 19 juillet 2026. Pour signaler une erreur : utilisez la page de contact de hagnere-code.ai sans joindre de cahier des charges contenant des données sensibles.</w:t>
      </w:r>
    </w:p>
    <w:sectPr>
      <w:headerReference w:type="default" r:id="rId9"/>
      <w:headerReference w:type="even" r:id="rId10"/>
      <w:footerReference w:type="default" r:id="rId11"/>
      <w:footerReference w:type="even" r:id="rId12"/>
      <w:pgSz w:w="11906" w:h="16838"/>
      <w:pgMar w:top="1440" w:right="1273" w:bottom="1440" w:left="1273"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B6472"/>
        <w:sz w:val="16"/>
      </w:rPr>
      <w:t xml:space="preserve">Hagnéré Code · Kit cahier des charges · Page </w:t>
    </w:r>
    <w:r>
      <w:rPr>
        <w:color w:val="5B6472"/>
        <w:sz w:val="16"/>
      </w:rPr>
      <w:fldChar w:fldCharType="begin"/>
      <w:instrText xml:space="preserve">PAGE</w:instrText>
      <w:fldChar w:fldCharType="separate"/>
      <w:t>1</w:t>
      <w:fldChar w:fldCharType="end"/>
    </w:r>
    <w:r>
      <w:rPr>
        <w:color w:val="5B6472"/>
        <w:sz w:val="16"/>
      </w:rPr>
      <w:t xml:space="preserve"> / </w:t>
    </w:r>
    <w:r>
      <w:rPr>
        <w:color w:val="5B6472"/>
        <w:sz w:val="16"/>
      </w:rPr>
      <w:fldChar w:fldCharType="begin"/>
      <w:instrText xml:space="preserve">NUMPAGES</w:instrText>
      <w:fldChar w:fldCharType="separate"/>
      <w:t>1</w:t>
      <w:fldChar w:fldCharType="end"/>
    </w:r>
    <w:r>
      <w:rPr>
        <w:color w:val="5B6472"/>
        <w:sz w:val="16"/>
      </w:rPr>
      <w:t xml:space="preserve"> · hagnere-code.ai</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B6472"/>
        <w:sz w:val="16"/>
      </w:rPr>
      <w:t xml:space="preserve">Hagnéré Code · Kit cahier des charges · Page </w:t>
    </w:r>
    <w:r>
      <w:rPr>
        <w:color w:val="5B6472"/>
        <w:sz w:val="16"/>
      </w:rPr>
      <w:fldChar w:fldCharType="begin"/>
      <w:instrText xml:space="preserve">PAGE</w:instrText>
      <w:fldChar w:fldCharType="separate"/>
      <w:t>1</w:t>
      <w:fldChar w:fldCharType="end"/>
    </w:r>
    <w:r>
      <w:rPr>
        <w:color w:val="5B6472"/>
        <w:sz w:val="16"/>
      </w:rPr>
      <w:t xml:space="preserve"> / </w:t>
    </w:r>
    <w:r>
      <w:rPr>
        <w:color w:val="5B6472"/>
        <w:sz w:val="16"/>
      </w:rPr>
      <w:fldChar w:fldCharType="begin"/>
      <w:instrText xml:space="preserve">NUMPAGES</w:instrText>
      <w:fldChar w:fldCharType="separate"/>
      <w:t>1</w:t>
      <w:fldChar w:fldCharType="end"/>
    </w:r>
    <w:r>
      <w:rPr>
        <w:color w:val="5B6472"/>
        <w:sz w:val="16"/>
      </w:rPr>
      <w:t xml:space="preserve"> · hagnere-code.ai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ind w:left="115" w:right="115"/>
      <w:shd w:fill="1F2937"/>
    </w:pPr>
    <w:r>
      <w:rPr>
        <w:b/>
        <w:color w:val="FFFFFF"/>
        <w:sz w:val="16"/>
      </w:rPr>
      <w:t>HAGNÉRÉ CODE · MODÈLE ÉDITABLE · v1.0 · 19/07/2026</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ind w:left="115" w:right="115"/>
      <w:shd w:fill="1F2937"/>
    </w:pPr>
    <w:r>
      <w:rPr>
        <w:b/>
        <w:color w:val="FFFFFF"/>
        <w:sz w:val="16"/>
      </w:rPr>
      <w:t>HAGNÉRÉ CODE · MODÈLE ÉDITABLE · v1.0 · 19/07/2026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bidi="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eastAsia="Calibri" w:cs="Calibri"/>
      <w:b w:val="0"/>
      <w:color w:val="1F2937"/>
      <w:sz w:val="22"/>
      <w:lang w:val="fr-FR" w:eastAsia="fr-FR" w:bidi="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Calibri" w:cs="Calibri"/>
      <w:b/>
      <w:bCs/>
      <w:color w:val="2E74B5"/>
      <w:sz w:val="32"/>
      <w:szCs w:val="28"/>
      <w:lang w:val="fr-FR" w:eastAsia="fr-FR" w:bidi="fr-FR"/>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Calibri" w:cs="Calibri"/>
      <w:b/>
      <w:bCs/>
      <w:color w:val="1E4F7A"/>
      <w:sz w:val="26"/>
      <w:szCs w:val="26"/>
      <w:lang w:val="fr-FR" w:eastAsia="fr-FR" w:bidi="fr-FR"/>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Calibri" w:cs="Calibri"/>
      <w:b/>
      <w:bCs/>
      <w:color w:val="1E4F7A"/>
      <w:sz w:val="24"/>
      <w:lang w:val="fr-FR" w:eastAsia="fr-FR" w:bidi="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20" w:line="240" w:lineRule="auto" w:before="0"/>
      <w:contextualSpacing/>
    </w:pPr>
    <w:rPr>
      <w:rFonts w:asciiTheme="majorHAnsi" w:eastAsiaTheme="majorEastAsia" w:hAnsiTheme="majorHAnsi" w:cstheme="majorBidi" w:ascii="Calibri" w:hAnsi="Calibri" w:eastAsia="Calibri" w:cs="Calibri"/>
      <w:b/>
      <w:color w:val="1F2937"/>
      <w:spacing w:val="5"/>
      <w:kern w:val="28"/>
      <w:sz w:val="46"/>
      <w:szCs w:val="52"/>
      <w:lang w:val="fr-FR" w:eastAsia="fr-FR" w:bidi="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ascii="Calibri" w:hAnsi="Calibri" w:eastAsia="Calibri" w:cs="Calibri"/>
      <w:b w:val="0"/>
      <w:i/>
      <w:iCs/>
      <w:color w:val="5B6472"/>
      <w:spacing w:val="15"/>
      <w:sz w:val="22"/>
      <w:szCs w:val="24"/>
      <w:lang w:val="fr-FR" w:eastAsia="fr-FR" w:bidi="fr-F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69"/>
      <w:contextualSpacing/>
    </w:pPr>
    <w:rPr>
      <w:rFonts w:ascii="Calibri" w:hAnsi="Calibri" w:eastAsia="Calibri" w:cs="Calibri"/>
      <w:b w:val="0"/>
      <w:color w:val="1F2937"/>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69"/>
      <w:contextualSpacing/>
    </w:pPr>
    <w:rPr>
      <w:rFonts w:ascii="Calibri" w:hAnsi="Calibri" w:eastAsia="Calibri" w:cs="Calibri"/>
      <w:b w:val="0"/>
      <w:color w:val="1F2937"/>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www.francenum.gouv.fr/guides-et-conseils/developpement-commercial/site-web/batir-le-cahier-des-charges-du-site-internet" TargetMode="External"/><Relationship Id="rId14" Type="http://schemas.openxmlformats.org/officeDocument/2006/relationships/hyperlink" Target="https://www.cnil.fr/fr/cookies-et-autres-traceurs/regles/cookies/comment-mettre-mon-site-web-en-conformite" TargetMode="External"/><Relationship Id="rId15" Type="http://schemas.openxmlformats.org/officeDocument/2006/relationships/hyperlink" Target="https://www.cnil.fr/fr/qualification-juridique-sous-traitance" TargetMode="External"/><Relationship Id="rId16" Type="http://schemas.openxmlformats.org/officeDocument/2006/relationships/hyperlink" Target="https://accessibilite.numerique.gouv.fr/obligations/champ-application/" TargetMode="External"/><Relationship Id="rId17" Type="http://schemas.openxmlformats.org/officeDocument/2006/relationships/hyperlink" Target="https://www.economie.gouv.fr/dgccrf/les-fiches-pratiques/la-nouvelle-directive-europeenne-accessibilite-pour-des-produits-et-des-services-accessibles-aux-personnes-en-situation" TargetMode="External"/><Relationship Id="rId18" Type="http://schemas.openxmlformats.org/officeDocument/2006/relationships/hyperlink" Target="https://developers.google.com/search/docs/appearance/core-web-vitals" TargetMode="External"/><Relationship Id="rId19" Type="http://schemas.openxmlformats.org/officeDocument/2006/relationships/hyperlink" Target="https://web.dev/articles/vitals?hl=fr" TargetMode="External"/><Relationship Id="rId20" Type="http://schemas.openxmlformats.org/officeDocument/2006/relationships/hyperlink" Target="https://developers.google.com/search/docs/crawling-indexing/301-redirects" TargetMode="External"/><Relationship Id="rId21" Type="http://schemas.openxmlformats.org/officeDocument/2006/relationships/hyperlink" Target="https://developers.google.com/search/docs/crawling-indexing/site-move-with-url-changes?hl=fr" TargetMode="External"/><Relationship Id="rId22" Type="http://schemas.openxmlformats.org/officeDocument/2006/relationships/hyperlink" Target="https://www.legifrance.gouv.fr/codes/article_lc/LEGIARTI000006278958" TargetMode="External"/><Relationship Id="rId23" Type="http://schemas.openxmlformats.org/officeDocument/2006/relationships/hyperlink" Target="https://www.afnic.fr/wp-media/uploads/2020/12/Guidepratique_Titulaire_VF.pdf" TargetMode="External"/><Relationship Id="rId24" Type="http://schemas.openxmlformats.org/officeDocument/2006/relationships/hyperlink" Target="https://messervices.cyber.gouv.fr/guides/recommandations-relatives-lauthentification-multifacteur-et-aux-mots-de-passe" TargetMode="External"/><Relationship Id="rId25" Type="http://schemas.openxmlformats.org/officeDocument/2006/relationships/hyperlink" Target="https://www.cybermalveillance.gouv.fr/tous-nos-contenus/bonnes-pratiques/sauvegar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ep:Properties xmlns:ep="http://schemas.openxmlformats.org/officeDocument/2006/extended-properties" xmlns:ns1="http://schemas.openxmlformats.org/officeDocument/2006/docPropsVTypes">
  <ep:Template>Normal.dotm</ep:Template>
  <ep:Application>Hagnéré Code resource generator</ep:Application>
  <ep:DocSecurity>0</ep:DocSecurity>
  <ep:ScaleCrop>false</ep:ScaleCrop>
  <ep:HeadingPairs>
    <ns1:vector size="2" baseType="variant">
      <ns1:variant>
        <ns1:lpstr>Title</ns1:lpstr>
      </ns1:variant>
      <ns1:variant>
        <ns1:i4>1</ns1:i4>
      </ns1:variant>
    </ns1:vector>
  </ep:HeadingPairs>
  <ep:TitlesOfParts>
    <ns1:vector size="1" baseType="lpstr">
      <ns1:lpstr/>
    </ns1:vector>
  </ep:TitlesOfParts>
  <ep:Manager/>
  <ep:Company>Hagnéré Code</ep:Company>
  <ep:LinksUpToDate>false</ep:LinksUpToDate>
  <ep:SharedDoc>false</ep:SharedDoc>
  <ep:HyperlinkBase/>
  <ep:HyperlinksChanged>false</ep:HyperlinksChanged>
  <ep:AppVersion>1.0</ep:AppVersion>
</ep:Properties>
</file>

<file path=docProps/core.xml><?xml version="1.0" encoding="utf-8"?>
<cp:coreProperties xmlns:cp="http://schemas.openxmlformats.org/package/2006/metadata/core-properties" xmlns:dc="http://purl.org/dc/elements/1.1/" xmlns:dcterms="http://purl.org/dc/terms/" xmlns:xsi="http://www.w3.org/2001/XMLSchema-instance">
  <dc:title>Modèle de cahier des charges de site internet</dc:title>
  <dc:subject>Kit opérationnel pour cadrer, consulter des prestataires et préparer la recette.</dc:subject>
  <dc:creator>Hagnéré Code</dc:creator>
  <cp:keywords>cahier des charges, site internet, modèle, recette, TPE, PME</cp:keywords>
  <dc:description>Ressource pédagogique. Ne constitue pas un conseil juridique personnalisé.</dc:description>
  <cp:lastModifiedBy>Hagnéré Code</cp:lastModifiedBy>
  <cp:revision>1</cp:revision>
  <dcterms:created xsi:type="dcterms:W3CDTF">2026-07-19T12:00:00Z</dcterms:created>
  <dcterms:modified xsi:type="dcterms:W3CDTF">2026-07-19T12:00:00Z</dcterms:modified>
  <cp:category>Ressource opérationnelle</cp:category>
  <cp:version>1.0</cp:version>
  <dc:language>fr-FR</dc:language>
</cp:coreProperties>
</file>